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 w:type="dxa"/>
        <w:tblLayout w:type="fixed"/>
        <w:tblCellMar>
          <w:left w:w="144" w:type="dxa"/>
          <w:right w:w="144" w:type="dxa"/>
        </w:tblCellMar>
        <w:tblLook w:val="0000" w:firstRow="0" w:lastRow="0" w:firstColumn="0" w:lastColumn="0" w:noHBand="0" w:noVBand="0"/>
      </w:tblPr>
      <w:tblGrid>
        <w:gridCol w:w="4663"/>
        <w:gridCol w:w="4180"/>
      </w:tblGrid>
      <w:tr w:rsidR="00362292">
        <w:trPr>
          <w:trHeight w:val="720"/>
        </w:trPr>
        <w:tc>
          <w:tcPr>
            <w:tcW w:w="4663" w:type="dxa"/>
          </w:tcPr>
          <w:p w:rsidR="00362292" w:rsidRDefault="00362292">
            <w:pPr>
              <w:pStyle w:val="ac"/>
              <w:ind w:right="-144"/>
              <w:rPr>
                <w:rFonts w:ascii="Times New Roman" w:hAnsi="Times New Roman"/>
                <w:sz w:val="18"/>
              </w:rPr>
            </w:pPr>
            <w:r>
              <w:rPr>
                <w:rFonts w:ascii="Times New Roman" w:hAnsi="Times New Roman"/>
                <w:sz w:val="18"/>
              </w:rPr>
              <w:t xml:space="preserve">The Hong Kong Statistical Society Examination Office, </w:t>
            </w:r>
            <w:r>
              <w:rPr>
                <w:rFonts w:ascii="Times New Roman" w:hAnsi="Times New Roman"/>
                <w:sz w:val="18"/>
              </w:rPr>
              <w:br/>
              <w:t xml:space="preserve">c/o HKU School of Professional </w:t>
            </w:r>
            <w:r w:rsidR="004A10C4">
              <w:rPr>
                <w:rFonts w:ascii="Times New Roman" w:hAnsi="Times New Roman"/>
                <w:sz w:val="18"/>
              </w:rPr>
              <w:t xml:space="preserve">and Continuing Education, </w:t>
            </w:r>
            <w:r w:rsidR="004A10C4">
              <w:rPr>
                <w:rFonts w:ascii="Times New Roman" w:hAnsi="Times New Roman"/>
                <w:sz w:val="18"/>
              </w:rPr>
              <w:br/>
              <w:t xml:space="preserve">Rm </w:t>
            </w:r>
            <w:r w:rsidR="004A10C4">
              <w:rPr>
                <w:rFonts w:ascii="Times New Roman" w:hAnsi="Times New Roman" w:hint="eastAsia"/>
                <w:sz w:val="18"/>
              </w:rPr>
              <w:t>313</w:t>
            </w:r>
            <w:r>
              <w:rPr>
                <w:rFonts w:ascii="Times New Roman" w:hAnsi="Times New Roman"/>
                <w:sz w:val="18"/>
              </w:rPr>
              <w:t>, 3/F, Admiralty Centre, 18 Harcourt Rd, Hong Kong.</w:t>
            </w:r>
            <w:r>
              <w:rPr>
                <w:rFonts w:ascii="Times New Roman" w:hAnsi="Times New Roman"/>
                <w:sz w:val="18"/>
              </w:rPr>
              <w:br/>
              <w:t xml:space="preserve">Tel: (852) </w:t>
            </w:r>
            <w:r>
              <w:rPr>
                <w:rFonts w:ascii="Times New Roman" w:hAnsi="Times New Roman" w:hint="eastAsia"/>
                <w:sz w:val="18"/>
              </w:rPr>
              <w:t>3761</w:t>
            </w:r>
            <w:r>
              <w:rPr>
                <w:rFonts w:ascii="Times New Roman" w:hAnsi="Times New Roman"/>
                <w:sz w:val="18"/>
              </w:rPr>
              <w:t>-</w:t>
            </w:r>
            <w:r>
              <w:rPr>
                <w:rFonts w:ascii="Times New Roman" w:hAnsi="Times New Roman" w:hint="eastAsia"/>
                <w:sz w:val="18"/>
              </w:rPr>
              <w:t>1121</w:t>
            </w:r>
            <w:r>
              <w:rPr>
                <w:rFonts w:ascii="Times New Roman" w:hAnsi="Times New Roman"/>
                <w:sz w:val="18"/>
              </w:rPr>
              <w:t>                 Fax: (852) 2527-0489</w:t>
            </w:r>
            <w:r>
              <w:rPr>
                <w:rFonts w:ascii="Times New Roman" w:hAnsi="Times New Roman"/>
                <w:sz w:val="18"/>
              </w:rPr>
              <w:br/>
              <w:t xml:space="preserve">Email: </w:t>
            </w:r>
            <w:hyperlink r:id="rId7" w:history="1">
              <w:r>
                <w:rPr>
                  <w:rStyle w:val="ae"/>
                  <w:rFonts w:ascii="Times New Roman" w:hAnsi="Times New Roman"/>
                  <w:sz w:val="18"/>
                </w:rPr>
                <w:t>exam@hkss.org.hk</w:t>
              </w:r>
            </w:hyperlink>
            <w:r>
              <w:rPr>
                <w:rFonts w:ascii="Times New Roman" w:hAnsi="Times New Roman"/>
                <w:sz w:val="18"/>
              </w:rPr>
              <w:t xml:space="preserve">       </w:t>
            </w:r>
            <w:r>
              <w:rPr>
                <w:rFonts w:ascii="Times New Roman" w:hAnsi="Times New Roman"/>
              </w:rPr>
              <w:t>Website</w:t>
            </w:r>
            <w:r>
              <w:rPr>
                <w:rFonts w:ascii="Times New Roman" w:hAnsi="Times New Roman"/>
                <w:sz w:val="18"/>
              </w:rPr>
              <w:t xml:space="preserve">: </w:t>
            </w:r>
            <w:hyperlink r:id="rId8" w:history="1">
              <w:r>
                <w:rPr>
                  <w:rStyle w:val="ae"/>
                  <w:rFonts w:ascii="Times New Roman" w:hAnsi="Times New Roman"/>
                  <w:sz w:val="18"/>
                </w:rPr>
                <w:t>http://www.hkss.org.hk</w:t>
              </w:r>
            </w:hyperlink>
          </w:p>
        </w:tc>
        <w:tc>
          <w:tcPr>
            <w:tcW w:w="4180" w:type="dxa"/>
          </w:tcPr>
          <w:p w:rsidR="00362292" w:rsidRDefault="00362292">
            <w:pPr>
              <w:pStyle w:val="a4"/>
              <w:rPr>
                <w:b/>
              </w:rPr>
            </w:pPr>
            <w:r>
              <w:rPr>
                <w:b/>
              </w:rPr>
              <w:t>HONG KONG STATISTICAL SOCIETY</w:t>
            </w:r>
          </w:p>
          <w:p w:rsidR="00362292" w:rsidRDefault="00362292">
            <w:pPr>
              <w:pStyle w:val="a4"/>
              <w:rPr>
                <w:b/>
              </w:rPr>
            </w:pPr>
          </w:p>
        </w:tc>
      </w:tr>
    </w:tbl>
    <w:p w:rsidR="00362292" w:rsidRDefault="00362292">
      <w:pPr>
        <w:pStyle w:val="1"/>
        <w:spacing w:afterLines="0" w:after="0"/>
      </w:pPr>
      <w:r>
        <w:t>APPLICATION FOR ACADEMIC ASSESSMENT</w:t>
      </w:r>
      <w:r w:rsidR="00B74FC0">
        <w:t xml:space="preserve"> - </w:t>
      </w:r>
      <w:r w:rsidR="000613B4">
        <w:t>HIGHER CERTIFICATE</w:t>
      </w:r>
    </w:p>
    <w:p w:rsidR="00362292" w:rsidRDefault="00362292">
      <w:pPr>
        <w:pStyle w:val="a0"/>
        <w:spacing w:afterLines="50" w:after="120"/>
        <w:jc w:val="cente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
        <w:gridCol w:w="1425"/>
        <w:gridCol w:w="751"/>
        <w:gridCol w:w="864"/>
        <w:gridCol w:w="380"/>
        <w:gridCol w:w="380"/>
        <w:gridCol w:w="334"/>
        <w:gridCol w:w="411"/>
        <w:gridCol w:w="15"/>
        <w:gridCol w:w="643"/>
        <w:gridCol w:w="212"/>
        <w:gridCol w:w="285"/>
        <w:gridCol w:w="190"/>
        <w:gridCol w:w="285"/>
        <w:gridCol w:w="95"/>
        <w:gridCol w:w="475"/>
        <w:gridCol w:w="190"/>
        <w:gridCol w:w="1646"/>
      </w:tblGrid>
      <w:tr w:rsidR="00362292" w:rsidTr="00C754FC">
        <w:tc>
          <w:tcPr>
            <w:tcW w:w="1738" w:type="dxa"/>
            <w:gridSpan w:val="2"/>
            <w:shd w:val="pct15" w:color="auto" w:fill="auto"/>
            <w:vAlign w:val="center"/>
          </w:tcPr>
          <w:p w:rsidR="00362292" w:rsidRDefault="00362292">
            <w:pPr>
              <w:pStyle w:val="a8"/>
              <w:ind w:left="120" w:right="146"/>
              <w:jc w:val="both"/>
            </w:pPr>
            <w:r>
              <w:t xml:space="preserve">Membership </w:t>
            </w:r>
            <w:r>
              <w:br/>
              <w:t>Category</w:t>
            </w:r>
          </w:p>
        </w:tc>
        <w:tc>
          <w:tcPr>
            <w:tcW w:w="1995" w:type="dxa"/>
            <w:gridSpan w:val="3"/>
            <w:tcBorders>
              <w:right w:val="nil"/>
            </w:tcBorders>
            <w:vAlign w:val="center"/>
          </w:tcPr>
          <w:p w:rsidR="00362292" w:rsidRDefault="00362292">
            <w:pPr>
              <w:pStyle w:val="ad"/>
              <w:ind w:left="320" w:right="122" w:hanging="236"/>
              <w:rPr>
                <w:rStyle w:val="aa"/>
              </w:rPr>
            </w:pPr>
            <w:r>
              <w:fldChar w:fldCharType="begin"/>
            </w:r>
            <w:r>
              <w:instrText xml:space="preserve"> MACROBUTTON CheckIt </w:instrText>
            </w:r>
            <w:r>
              <w:sym w:font="Wingdings" w:char="F0A8"/>
            </w:r>
            <w:r>
              <w:fldChar w:fldCharType="end"/>
            </w:r>
            <w:r>
              <w:rPr>
                <w:rStyle w:val="aa"/>
              </w:rPr>
              <w:tab/>
              <w:t xml:space="preserve">Full </w:t>
            </w:r>
            <w:r>
              <w:rPr>
                <w:rStyle w:val="aa"/>
              </w:rPr>
              <w:br/>
              <w:t>Member</w:t>
            </w:r>
          </w:p>
        </w:tc>
        <w:tc>
          <w:tcPr>
            <w:tcW w:w="1995" w:type="dxa"/>
            <w:gridSpan w:val="6"/>
            <w:tcBorders>
              <w:left w:val="nil"/>
              <w:right w:val="nil"/>
            </w:tcBorders>
            <w:vAlign w:val="center"/>
          </w:tcPr>
          <w:p w:rsidR="00362292" w:rsidRDefault="00362292">
            <w:pPr>
              <w:pStyle w:val="ad"/>
              <w:ind w:left="320" w:right="122" w:hanging="236"/>
              <w:rPr>
                <w:rStyle w:val="aa"/>
              </w:rPr>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Student </w:t>
            </w:r>
            <w:r>
              <w:rPr>
                <w:rStyle w:val="aa"/>
              </w:rPr>
              <w:br/>
              <w:t>Member</w:t>
            </w:r>
          </w:p>
        </w:tc>
        <w:tc>
          <w:tcPr>
            <w:tcW w:w="3166" w:type="dxa"/>
            <w:gridSpan w:val="7"/>
            <w:tcBorders>
              <w:left w:val="nil"/>
            </w:tcBorders>
            <w:vAlign w:val="center"/>
          </w:tcPr>
          <w:p w:rsidR="00362292" w:rsidRDefault="00362292">
            <w:pPr>
              <w:pStyle w:val="ad"/>
              <w:tabs>
                <w:tab w:val="right" w:pos="2727"/>
              </w:tabs>
              <w:ind w:left="320" w:right="122" w:hanging="236"/>
              <w:jc w:val="left"/>
              <w:rPr>
                <w:rStyle w:val="aa"/>
              </w:rPr>
            </w:pPr>
          </w:p>
        </w:tc>
      </w:tr>
      <w:tr w:rsidR="00362292" w:rsidTr="00C754FC">
        <w:tc>
          <w:tcPr>
            <w:tcW w:w="1738" w:type="dxa"/>
            <w:gridSpan w:val="2"/>
            <w:shd w:val="pct15" w:color="auto" w:fill="auto"/>
            <w:vAlign w:val="center"/>
          </w:tcPr>
          <w:p w:rsidR="00362292" w:rsidRDefault="00362292">
            <w:pPr>
              <w:pStyle w:val="a8"/>
              <w:ind w:left="120" w:right="146"/>
            </w:pPr>
            <w:r>
              <w:t>Title</w:t>
            </w:r>
          </w:p>
        </w:tc>
        <w:tc>
          <w:tcPr>
            <w:tcW w:w="2709" w:type="dxa"/>
            <w:gridSpan w:val="5"/>
            <w:vAlign w:val="center"/>
          </w:tcPr>
          <w:p w:rsidR="00362292" w:rsidRDefault="00362292">
            <w:pPr>
              <w:pStyle w:val="ad"/>
              <w:ind w:left="84" w:right="122"/>
              <w:jc w:val="left"/>
            </w:pPr>
            <w:r>
              <w:t xml:space="preserve">* </w:t>
            </w:r>
            <w:proofErr w:type="spellStart"/>
            <w:r>
              <w:t>Mr</w:t>
            </w:r>
            <w:proofErr w:type="spellEnd"/>
            <w:r>
              <w:t>/</w:t>
            </w:r>
            <w:proofErr w:type="spellStart"/>
            <w:r>
              <w:t>Mrs</w:t>
            </w:r>
            <w:proofErr w:type="spellEnd"/>
            <w:r>
              <w:t>/Miss/</w:t>
            </w:r>
            <w:proofErr w:type="spellStart"/>
            <w:r>
              <w:t>Ms</w:t>
            </w:r>
            <w:proofErr w:type="spellEnd"/>
            <w:r>
              <w:t>/Other</w:t>
            </w:r>
          </w:p>
        </w:tc>
        <w:tc>
          <w:tcPr>
            <w:tcW w:w="2136" w:type="dxa"/>
            <w:gridSpan w:val="8"/>
            <w:shd w:val="pct15" w:color="auto" w:fill="auto"/>
            <w:vAlign w:val="center"/>
          </w:tcPr>
          <w:p w:rsidR="00362292" w:rsidRDefault="00362292">
            <w:pPr>
              <w:pStyle w:val="a8"/>
              <w:spacing w:before="40" w:after="60"/>
              <w:ind w:left="120" w:right="146"/>
              <w:rPr>
                <w:sz w:val="16"/>
              </w:rPr>
            </w:pPr>
            <w:r>
              <w:t>HKID No.</w:t>
            </w:r>
            <w:r>
              <w:br/>
            </w:r>
            <w:r>
              <w:rPr>
                <w:sz w:val="15"/>
              </w:rPr>
              <w:t>Please specify if other document</w:t>
            </w:r>
          </w:p>
        </w:tc>
        <w:tc>
          <w:tcPr>
            <w:tcW w:w="2311" w:type="dxa"/>
            <w:gridSpan w:val="3"/>
            <w:vAlign w:val="center"/>
          </w:tcPr>
          <w:p w:rsidR="00362292" w:rsidRDefault="00362292">
            <w:pPr>
              <w:pStyle w:val="ad"/>
              <w:ind w:left="84" w:right="122"/>
              <w:jc w:val="left"/>
            </w:pPr>
          </w:p>
        </w:tc>
      </w:tr>
      <w:tr w:rsidR="00362292" w:rsidTr="00C754FC">
        <w:tc>
          <w:tcPr>
            <w:tcW w:w="1738" w:type="dxa"/>
            <w:gridSpan w:val="2"/>
            <w:shd w:val="pct15" w:color="auto" w:fill="auto"/>
            <w:vAlign w:val="center"/>
          </w:tcPr>
          <w:p w:rsidR="00362292" w:rsidRDefault="00362292">
            <w:pPr>
              <w:pStyle w:val="a8"/>
              <w:ind w:left="120" w:right="146"/>
              <w:jc w:val="both"/>
            </w:pPr>
            <w:r>
              <w:t>Surname</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pPr>
            <w:r>
              <w:t>Other Names</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Date of Birth</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rPr>
                <w:lang w:eastAsia="zh-HK"/>
              </w:rPr>
            </w:pPr>
            <w:r>
              <w:t>Email</w:t>
            </w:r>
            <w:r w:rsidR="005C64D2">
              <w:rPr>
                <w:rFonts w:hint="eastAsia"/>
                <w:lang w:eastAsia="zh-HK"/>
              </w:rPr>
              <w:t xml:space="preserve"> </w:t>
            </w:r>
            <w:r w:rsidR="005C64D2" w:rsidRPr="009321C8">
              <w:rPr>
                <w:rStyle w:val="aa"/>
                <w:i w:val="0"/>
              </w:rPr>
              <w:fldChar w:fldCharType="begin"/>
            </w:r>
            <w:r w:rsidR="005C64D2" w:rsidRPr="009321C8">
              <w:rPr>
                <w:rStyle w:val="aa"/>
                <w:i w:val="0"/>
              </w:rPr>
              <w:instrText xml:space="preserve"> MACROBUTTON CheckIt </w:instrText>
            </w:r>
            <w:r w:rsidR="005C64D2" w:rsidRPr="009321C8">
              <w:rPr>
                <w:rStyle w:val="aa"/>
                <w:i w:val="0"/>
              </w:rPr>
              <w:sym w:font="Wingdings" w:char="F0A8"/>
            </w:r>
            <w:r w:rsidR="005C64D2" w:rsidRPr="009321C8">
              <w:rPr>
                <w:rStyle w:val="aa"/>
                <w:i w:val="0"/>
              </w:rPr>
              <w:fldChar w:fldCharType="end"/>
            </w:r>
            <w:r w:rsidR="005C64D2" w:rsidRPr="009321C8">
              <w:rPr>
                <w:rStyle w:val="aa"/>
                <w:rFonts w:hint="eastAsia"/>
                <w:i w:val="0"/>
                <w:vertAlign w:val="superscript"/>
                <w:lang w:eastAsia="zh-HK"/>
              </w:rPr>
              <w:t>#</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Address</w:t>
            </w:r>
          </w:p>
        </w:tc>
        <w:tc>
          <w:tcPr>
            <w:tcW w:w="7156" w:type="dxa"/>
            <w:gridSpan w:val="1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Telephone</w:t>
            </w:r>
          </w:p>
        </w:tc>
        <w:tc>
          <w:tcPr>
            <w:tcW w:w="1615" w:type="dxa"/>
            <w:gridSpan w:val="2"/>
            <w:vAlign w:val="center"/>
          </w:tcPr>
          <w:p w:rsidR="00362292" w:rsidRDefault="00362292">
            <w:pPr>
              <w:pStyle w:val="ad"/>
              <w:ind w:left="84" w:right="122"/>
            </w:pPr>
          </w:p>
        </w:tc>
        <w:tc>
          <w:tcPr>
            <w:tcW w:w="1520" w:type="dxa"/>
            <w:gridSpan w:val="5"/>
            <w:shd w:val="pct15" w:color="auto" w:fill="auto"/>
            <w:vAlign w:val="center"/>
          </w:tcPr>
          <w:p w:rsidR="00362292" w:rsidRDefault="00362292">
            <w:pPr>
              <w:pStyle w:val="a8"/>
              <w:ind w:left="120" w:right="146"/>
              <w:jc w:val="both"/>
            </w:pPr>
            <w:r>
              <w:t>Mobile Phone</w:t>
            </w:r>
          </w:p>
        </w:tc>
        <w:tc>
          <w:tcPr>
            <w:tcW w:w="1615" w:type="dxa"/>
            <w:gridSpan w:val="5"/>
            <w:vAlign w:val="center"/>
          </w:tcPr>
          <w:p w:rsidR="00362292" w:rsidRDefault="00362292">
            <w:pPr>
              <w:pStyle w:val="ad"/>
              <w:ind w:left="84" w:right="122"/>
            </w:pPr>
          </w:p>
        </w:tc>
        <w:tc>
          <w:tcPr>
            <w:tcW w:w="760" w:type="dxa"/>
            <w:gridSpan w:val="3"/>
            <w:shd w:val="pct15" w:color="auto" w:fill="auto"/>
            <w:vAlign w:val="center"/>
          </w:tcPr>
          <w:p w:rsidR="00362292" w:rsidRDefault="00362292">
            <w:pPr>
              <w:pStyle w:val="a8"/>
              <w:ind w:left="120" w:right="146"/>
              <w:jc w:val="both"/>
            </w:pPr>
            <w:r>
              <w:t>Fax</w:t>
            </w:r>
          </w:p>
        </w:tc>
        <w:tc>
          <w:tcPr>
            <w:tcW w:w="1646" w:type="dxa"/>
            <w:vAlign w:val="center"/>
          </w:tcPr>
          <w:p w:rsidR="00362292" w:rsidRDefault="00362292">
            <w:pPr>
              <w:pStyle w:val="ad"/>
              <w:ind w:left="84" w:right="122"/>
            </w:pP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jc w:val="both"/>
            </w:pPr>
            <w:r>
              <w:t>Academic / Professional Qualifications (use separate sheet if insufficient space)</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dotted" w:sz="4" w:space="0" w:color="auto"/>
              <w:right w:val="dotted" w:sz="4" w:space="0" w:color="auto"/>
            </w:tcBorders>
            <w:vAlign w:val="center"/>
          </w:tcPr>
          <w:p w:rsidR="00362292" w:rsidRDefault="00362292">
            <w:pPr>
              <w:pStyle w:val="ad"/>
              <w:ind w:left="84" w:right="122"/>
              <w:jc w:val="center"/>
            </w:pPr>
          </w:p>
        </w:tc>
        <w:tc>
          <w:tcPr>
            <w:tcW w:w="2176"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Qualification</w:t>
            </w:r>
          </w:p>
        </w:tc>
        <w:tc>
          <w:tcPr>
            <w:tcW w:w="1624" w:type="dxa"/>
            <w:gridSpan w:val="3"/>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Subject(s) Taken</w:t>
            </w:r>
          </w:p>
        </w:tc>
        <w:tc>
          <w:tcPr>
            <w:tcW w:w="745"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Grade</w:t>
            </w:r>
          </w:p>
        </w:tc>
        <w:tc>
          <w:tcPr>
            <w:tcW w:w="658"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Year</w:t>
            </w:r>
          </w:p>
        </w:tc>
        <w:tc>
          <w:tcPr>
            <w:tcW w:w="1542" w:type="dxa"/>
            <w:gridSpan w:val="6"/>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Awarding Body</w:t>
            </w:r>
          </w:p>
        </w:tc>
        <w:tc>
          <w:tcPr>
            <w:tcW w:w="1836" w:type="dxa"/>
            <w:gridSpan w:val="2"/>
            <w:tcBorders>
              <w:top w:val="single" w:sz="4" w:space="0" w:color="auto"/>
              <w:left w:val="dotted" w:sz="4" w:space="0" w:color="auto"/>
              <w:bottom w:val="dotted" w:sz="4" w:space="0" w:color="auto"/>
              <w:right w:val="single" w:sz="4" w:space="0" w:color="auto"/>
            </w:tcBorders>
            <w:vAlign w:val="center"/>
          </w:tcPr>
          <w:p w:rsidR="00362292" w:rsidRDefault="00362292" w:rsidP="00234FE4">
            <w:pPr>
              <w:pStyle w:val="ad"/>
              <w:spacing w:after="0" w:line="200" w:lineRule="exact"/>
              <w:ind w:left="84" w:right="122"/>
              <w:jc w:val="center"/>
              <w:rPr>
                <w:vertAlign w:val="superscript"/>
              </w:rPr>
            </w:pPr>
            <w:r>
              <w:rPr>
                <w:u w:val="single"/>
              </w:rPr>
              <w:t xml:space="preserve">Documentary proof of relevant qualification attached </w:t>
            </w:r>
            <w:r>
              <w:rPr>
                <w:vertAlign w:val="superscript"/>
              </w:rPr>
              <w:t xml:space="preserve">see Note </w:t>
            </w:r>
            <w:r w:rsidR="00234FE4">
              <w:rPr>
                <w:vertAlign w:val="superscript"/>
              </w:rPr>
              <w:t>3</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right="122"/>
            </w:pPr>
            <w:r>
              <w:rPr>
                <w:rFonts w:hint="eastAsia"/>
              </w:rPr>
              <w:t>1</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362292" w:rsidTr="00D1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left="84" w:right="122"/>
            </w:pPr>
            <w:r>
              <w:rPr>
                <w:rFonts w:hint="eastAsia"/>
              </w:rPr>
              <w:t>2</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234FE4"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dotted" w:sz="4" w:space="0" w:color="auto"/>
              <w:left w:val="single" w:sz="4" w:space="0" w:color="auto"/>
              <w:bottom w:val="single" w:sz="4" w:space="0" w:color="auto"/>
              <w:right w:val="dotted" w:sz="4" w:space="0" w:color="auto"/>
            </w:tcBorders>
          </w:tcPr>
          <w:p w:rsidR="00234FE4" w:rsidRDefault="00234FE4" w:rsidP="00234FE4">
            <w:pPr>
              <w:pStyle w:val="ad"/>
              <w:ind w:leftChars="0" w:left="84" w:right="122"/>
            </w:pPr>
            <w:r>
              <w:rPr>
                <w:rFonts w:hint="eastAsia"/>
              </w:rPr>
              <w:t>3</w:t>
            </w:r>
          </w:p>
        </w:tc>
        <w:tc>
          <w:tcPr>
            <w:tcW w:w="2176"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p w:rsidR="00D127A2" w:rsidRDefault="00D127A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745"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658"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542" w:type="dxa"/>
            <w:gridSpan w:val="6"/>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836" w:type="dxa"/>
            <w:gridSpan w:val="2"/>
            <w:tcBorders>
              <w:top w:val="dotted" w:sz="4" w:space="0" w:color="auto"/>
              <w:left w:val="dotted" w:sz="4" w:space="0" w:color="auto"/>
              <w:bottom w:val="single" w:sz="4" w:space="0" w:color="auto"/>
              <w:right w:val="single" w:sz="4" w:space="0" w:color="auto"/>
            </w:tcBorders>
          </w:tcPr>
          <w:p w:rsidR="00234FE4" w:rsidRDefault="00234FE4">
            <w:pPr>
              <w:pStyle w:val="ad"/>
              <w:ind w:left="84" w:right="122"/>
            </w:pPr>
          </w:p>
        </w:tc>
      </w:tr>
      <w:tr w:rsidR="00B74FC0" w:rsidRPr="00D127A2" w:rsidTr="00905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FC0" w:rsidRPr="00D127A2" w:rsidRDefault="00B74FC0" w:rsidP="000613B4">
            <w:pPr>
              <w:pStyle w:val="ad"/>
              <w:ind w:left="84" w:right="122"/>
            </w:pPr>
            <w:r>
              <w:rPr>
                <w:b/>
                <w:i/>
                <w:sz w:val="22"/>
                <w:szCs w:val="22"/>
              </w:rPr>
              <w:t xml:space="preserve">** </w:t>
            </w:r>
            <w:r w:rsidRPr="00D127A2">
              <w:rPr>
                <w:b/>
                <w:i/>
                <w:sz w:val="22"/>
                <w:szCs w:val="22"/>
              </w:rPr>
              <w:t xml:space="preserve">Please </w:t>
            </w:r>
            <w:r>
              <w:rPr>
                <w:b/>
                <w:i/>
                <w:sz w:val="22"/>
                <w:szCs w:val="22"/>
              </w:rPr>
              <w:t xml:space="preserve">complete the Appendix by matching the subject(s) you have taken with the </w:t>
            </w:r>
            <w:r w:rsidRPr="00D127A2">
              <w:rPr>
                <w:b/>
                <w:i/>
                <w:sz w:val="22"/>
                <w:szCs w:val="22"/>
              </w:rPr>
              <w:t xml:space="preserve">2017 </w:t>
            </w:r>
            <w:r w:rsidR="000613B4">
              <w:rPr>
                <w:b/>
                <w:i/>
                <w:sz w:val="22"/>
                <w:szCs w:val="22"/>
              </w:rPr>
              <w:t xml:space="preserve">Higher Certificate </w:t>
            </w:r>
            <w:r>
              <w:rPr>
                <w:b/>
                <w:i/>
                <w:sz w:val="22"/>
                <w:szCs w:val="22"/>
              </w:rPr>
              <w:t xml:space="preserve">syllabus </w:t>
            </w:r>
          </w:p>
        </w:tc>
      </w:tr>
      <w:tr w:rsidR="00362292"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rPr>
                <w:vertAlign w:val="superscript"/>
              </w:rPr>
            </w:pPr>
            <w:r>
              <w:t>Payment Method</w:t>
            </w:r>
            <w:r>
              <w:rPr>
                <w:vertAlign w:val="superscript"/>
              </w:rPr>
              <w:t xml:space="preserve"> see Note 2</w:t>
            </w:r>
          </w:p>
        </w:tc>
        <w:tc>
          <w:tcPr>
            <w:tcW w:w="2375" w:type="dxa"/>
            <w:gridSpan w:val="4"/>
            <w:tcBorders>
              <w:top w:val="single" w:sz="4" w:space="0" w:color="auto"/>
              <w:left w:val="single" w:sz="4" w:space="0" w:color="auto"/>
              <w:bottom w:val="single" w:sz="4" w:space="0" w:color="auto"/>
            </w:tcBorders>
            <w:vAlign w:val="center"/>
          </w:tcPr>
          <w:p w:rsidR="00362292" w:rsidRDefault="00362292">
            <w:pPr>
              <w:pStyle w:val="ad"/>
              <w:tabs>
                <w:tab w:val="right" w:leader="do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Attached crossed </w:t>
            </w:r>
            <w:proofErr w:type="spellStart"/>
            <w:r>
              <w:rPr>
                <w:rStyle w:val="aa"/>
              </w:rPr>
              <w:t>cheque</w:t>
            </w:r>
            <w:proofErr w:type="spellEnd"/>
            <w:r>
              <w:rPr>
                <w:rStyle w:val="aa"/>
              </w:rPr>
              <w:t xml:space="preserve"> No:</w:t>
            </w:r>
            <w:r>
              <w:rPr>
                <w:rStyle w:val="aa"/>
              </w:rPr>
              <w:tab/>
            </w:r>
          </w:p>
        </w:tc>
        <w:tc>
          <w:tcPr>
            <w:tcW w:w="2090" w:type="dxa"/>
            <w:gridSpan w:val="7"/>
            <w:tcBorders>
              <w:top w:val="single" w:sz="4" w:space="0" w:color="auto"/>
              <w:bottom w:val="single" w:sz="4" w:space="0" w:color="auto"/>
            </w:tcBorders>
            <w:vAlign w:val="center"/>
          </w:tcPr>
          <w:p w:rsidR="00362292" w:rsidRDefault="00362292">
            <w:pPr>
              <w:pStyle w:val="ad"/>
              <w:tabs>
                <w:tab w:val="right" w:leader="dot" w:pos="187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bank draft No:</w:t>
            </w:r>
            <w:r>
              <w:rPr>
                <w:rStyle w:val="aa"/>
              </w:rPr>
              <w:tab/>
            </w:r>
          </w:p>
        </w:tc>
        <w:tc>
          <w:tcPr>
            <w:tcW w:w="2691" w:type="dxa"/>
            <w:gridSpan w:val="5"/>
            <w:tcBorders>
              <w:top w:val="single" w:sz="4" w:space="0" w:color="auto"/>
              <w:bottom w:val="single" w:sz="4" w:space="0" w:color="auto"/>
              <w:right w:val="single" w:sz="4" w:space="0" w:color="auto"/>
            </w:tcBorders>
            <w:vAlign w:val="center"/>
          </w:tcPr>
          <w:p w:rsidR="00362292" w:rsidRDefault="00362292">
            <w:pPr>
              <w:pStyle w:val="ad"/>
              <w:tabs>
                <w:tab w:val="righ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original bank receipt for deposited amount</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vAlign w:val="center"/>
          </w:tcPr>
          <w:p w:rsidR="00362292" w:rsidRDefault="00362292">
            <w:pPr>
              <w:pStyle w:val="2"/>
              <w:jc w:val="left"/>
            </w:pPr>
            <w:r>
              <w:rPr>
                <w:rStyle w:val="aa"/>
              </w:rPr>
              <w:t>For acknowledgement of receipt of this form by the Society, you are required to enclose in addition a self-addressed stamped envelope.  Please indicate whether acknowledgement is required: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Yes, a self-addressed envelope is enclosed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No</w:t>
            </w:r>
          </w:p>
        </w:tc>
      </w:tr>
    </w:tbl>
    <w:p w:rsidR="00362292" w:rsidRDefault="005C64D2">
      <w:pPr>
        <w:pStyle w:val="2"/>
        <w:spacing w:line="360" w:lineRule="auto"/>
        <w:rPr>
          <w:lang w:eastAsia="zh-HK"/>
        </w:rPr>
      </w:pPr>
      <w:r>
        <w:rPr>
          <w:rFonts w:hint="eastAsia"/>
          <w:lang w:eastAsia="zh-HK"/>
        </w:rPr>
        <w:t>#: Please tick the box if you want to receive the notification letter of the assessment result by email.</w:t>
      </w:r>
    </w:p>
    <w:p w:rsidR="00362292" w:rsidRDefault="00362292">
      <w:pPr>
        <w:pStyle w:val="2"/>
      </w:pPr>
      <w:r>
        <w:br w:type="page"/>
      </w:r>
      <w:r>
        <w:lastRenderedPageBreak/>
        <w:t>Notes for filling in this form:</w:t>
      </w:r>
    </w:p>
    <w:p w:rsidR="009F494E" w:rsidRDefault="009F494E" w:rsidP="009F494E">
      <w:pPr>
        <w:pStyle w:val="2"/>
        <w:numPr>
          <w:ilvl w:val="0"/>
          <w:numId w:val="2"/>
        </w:numPr>
        <w:rPr>
          <w:rStyle w:val="a5"/>
        </w:rPr>
      </w:pPr>
      <w:r w:rsidRPr="009F494E">
        <w:rPr>
          <w:rStyle w:val="a5"/>
        </w:rPr>
        <w:t xml:space="preserve">The main purpose the academic assessment services provided by the Hong Kong Statistical Society is to facilitate </w:t>
      </w:r>
      <w:r w:rsidR="00FD03A5">
        <w:rPr>
          <w:rStyle w:val="a5"/>
          <w:rFonts w:hint="eastAsia"/>
          <w:lang w:eastAsia="zh-HK"/>
        </w:rPr>
        <w:t xml:space="preserve">application of </w:t>
      </w:r>
      <w:r w:rsidR="000D77EB">
        <w:rPr>
          <w:rStyle w:val="a5"/>
          <w:rFonts w:hint="eastAsia"/>
          <w:lang w:eastAsia="zh-HK"/>
        </w:rPr>
        <w:t xml:space="preserve">professional </w:t>
      </w:r>
      <w:r w:rsidR="00FD03A5">
        <w:rPr>
          <w:rStyle w:val="a5"/>
          <w:rFonts w:hint="eastAsia"/>
          <w:lang w:eastAsia="zh-HK"/>
        </w:rPr>
        <w:t xml:space="preserve">membership of the </w:t>
      </w:r>
      <w:r w:rsidR="00FD03A5">
        <w:rPr>
          <w:rStyle w:val="a5"/>
          <w:lang w:eastAsia="zh-HK"/>
        </w:rPr>
        <w:t>Society</w:t>
      </w:r>
      <w:r w:rsidRPr="009F494E">
        <w:rPr>
          <w:rStyle w:val="a5"/>
        </w:rPr>
        <w:t>.  In case any</w:t>
      </w:r>
      <w:r w:rsidR="00FD03A5">
        <w:rPr>
          <w:rStyle w:val="a5"/>
          <w:rFonts w:hint="eastAsia"/>
          <w:lang w:eastAsia="zh-HK"/>
        </w:rPr>
        <w:t xml:space="preserve"> qualification is assessed to be equivalent to certain level of the 2017 examination </w:t>
      </w:r>
      <w:proofErr w:type="spellStart"/>
      <w:r w:rsidR="00FD03A5">
        <w:rPr>
          <w:rStyle w:val="a5"/>
          <w:lang w:eastAsia="zh-HK"/>
        </w:rPr>
        <w:t>organi</w:t>
      </w:r>
      <w:r w:rsidR="00FD03A5">
        <w:rPr>
          <w:rStyle w:val="a5"/>
          <w:rFonts w:hint="eastAsia"/>
          <w:lang w:eastAsia="zh-HK"/>
        </w:rPr>
        <w:t>s</w:t>
      </w:r>
      <w:r w:rsidR="00FD03A5">
        <w:rPr>
          <w:rStyle w:val="a5"/>
          <w:lang w:eastAsia="zh-HK"/>
        </w:rPr>
        <w:t>ed</w:t>
      </w:r>
      <w:proofErr w:type="spellEnd"/>
      <w:r w:rsidR="00FD03A5">
        <w:rPr>
          <w:rStyle w:val="a5"/>
          <w:rFonts w:hint="eastAsia"/>
          <w:lang w:eastAsia="zh-HK"/>
        </w:rPr>
        <w:t xml:space="preserve"> by the Society</w:t>
      </w:r>
      <w:r w:rsidRPr="009F494E">
        <w:rPr>
          <w:rStyle w:val="a5"/>
        </w:rPr>
        <w:t xml:space="preserve">, </w:t>
      </w:r>
      <w:r w:rsidR="00FD03A5">
        <w:rPr>
          <w:rStyle w:val="a5"/>
          <w:rFonts w:hint="eastAsia"/>
          <w:lang w:eastAsia="zh-HK"/>
        </w:rPr>
        <w:t xml:space="preserve">such assessment </w:t>
      </w:r>
      <w:r w:rsidRPr="009F494E">
        <w:rPr>
          <w:rStyle w:val="a5"/>
        </w:rPr>
        <w:t xml:space="preserve">should not be regarded as a proof of </w:t>
      </w:r>
      <w:r w:rsidR="00FD03A5">
        <w:rPr>
          <w:rStyle w:val="a5"/>
          <w:rFonts w:hint="eastAsia"/>
          <w:lang w:eastAsia="zh-HK"/>
        </w:rPr>
        <w:t xml:space="preserve">additional </w:t>
      </w:r>
      <w:r w:rsidRPr="009F494E">
        <w:rPr>
          <w:rStyle w:val="a5"/>
        </w:rPr>
        <w:t>academic qualification.</w:t>
      </w:r>
    </w:p>
    <w:p w:rsidR="00362292" w:rsidRDefault="00362292" w:rsidP="009F494E">
      <w:pPr>
        <w:pStyle w:val="2"/>
        <w:numPr>
          <w:ilvl w:val="0"/>
          <w:numId w:val="2"/>
        </w:numPr>
        <w:rPr>
          <w:rStyle w:val="a5"/>
        </w:rPr>
      </w:pPr>
      <w:r>
        <w:rPr>
          <w:rStyle w:val="a5"/>
        </w:rPr>
        <w:t xml:space="preserve">If you wish to apply for </w:t>
      </w:r>
      <w:r w:rsidR="00FD03A5">
        <w:rPr>
          <w:rStyle w:val="a5"/>
          <w:rFonts w:hint="eastAsia"/>
          <w:lang w:eastAsia="zh-HK"/>
        </w:rPr>
        <w:t xml:space="preserve">academic </w:t>
      </w:r>
      <w:r w:rsidR="00EB0D69">
        <w:rPr>
          <w:rStyle w:val="a5"/>
          <w:lang w:eastAsia="zh-HK"/>
        </w:rPr>
        <w:t>assessment</w:t>
      </w:r>
      <w:r>
        <w:rPr>
          <w:rStyle w:val="a5"/>
        </w:rPr>
        <w:t xml:space="preserve">, please fill in and return this form.  </w:t>
      </w:r>
    </w:p>
    <w:p w:rsidR="00362292" w:rsidRDefault="00362292">
      <w:pPr>
        <w:pStyle w:val="2"/>
        <w:numPr>
          <w:ilvl w:val="0"/>
          <w:numId w:val="2"/>
        </w:numPr>
        <w:rPr>
          <w:rStyle w:val="a5"/>
        </w:rPr>
      </w:pPr>
      <w:r>
        <w:rPr>
          <w:rStyle w:val="a5"/>
        </w:rPr>
        <w:t xml:space="preserve">You are advised to </w:t>
      </w:r>
      <w:r>
        <w:rPr>
          <w:rStyle w:val="a5"/>
          <w:u w:val="single"/>
        </w:rPr>
        <w:t>enclose</w:t>
      </w:r>
      <w:r>
        <w:rPr>
          <w:rStyle w:val="a5"/>
        </w:rPr>
        <w:t xml:space="preserve"> with it as much supporting evidence as possible.  You </w:t>
      </w:r>
      <w:r>
        <w:rPr>
          <w:rStyle w:val="a5"/>
          <w:u w:val="single"/>
        </w:rPr>
        <w:t>must</w:t>
      </w:r>
      <w:r>
        <w:rPr>
          <w:rStyle w:val="a5"/>
        </w:rPr>
        <w:t xml:space="preserve"> provide photocopy of transcript and/or certificates/diplomas.  </w:t>
      </w:r>
      <w:r>
        <w:rPr>
          <w:rStyle w:val="a5"/>
          <w:u w:val="single"/>
        </w:rPr>
        <w:t>Do not send any originals</w:t>
      </w:r>
      <w:r>
        <w:rPr>
          <w:rStyle w:val="a5"/>
        </w:rPr>
        <w:t xml:space="preserve">.  You must in any case provide a detailed breakdown of your course(s), showing clearly the statistical and mathematical units you have studied.  </w:t>
      </w:r>
      <w:r w:rsidR="0073663F">
        <w:rPr>
          <w:rStyle w:val="a5"/>
          <w:rFonts w:hint="eastAsia"/>
          <w:lang w:eastAsia="zh-HK"/>
        </w:rPr>
        <w:t>D</w:t>
      </w:r>
      <w:r>
        <w:rPr>
          <w:rStyle w:val="a5"/>
        </w:rPr>
        <w:t>etailed syllabuses</w:t>
      </w:r>
      <w:r w:rsidR="0073663F">
        <w:rPr>
          <w:rStyle w:val="a5"/>
          <w:rFonts w:hint="eastAsia"/>
          <w:lang w:eastAsia="zh-HK"/>
        </w:rPr>
        <w:t xml:space="preserve"> should be </w:t>
      </w:r>
      <w:r>
        <w:rPr>
          <w:rStyle w:val="a5"/>
        </w:rPr>
        <w:t>submit</w:t>
      </w:r>
      <w:r w:rsidR="0073663F">
        <w:rPr>
          <w:rStyle w:val="a5"/>
          <w:rFonts w:hint="eastAsia"/>
          <w:lang w:eastAsia="zh-HK"/>
        </w:rPr>
        <w:t>ted</w:t>
      </w:r>
      <w:r>
        <w:rPr>
          <w:rStyle w:val="a5"/>
        </w:rPr>
        <w:t xml:space="preserve">.  If you have previously been assessed by the Hong Kong Statistical Society (or by the Royal Statistical Society), please provide documentary proof of all previous </w:t>
      </w:r>
      <w:r w:rsidR="00FD03A5">
        <w:rPr>
          <w:rStyle w:val="a5"/>
          <w:rFonts w:hint="eastAsia"/>
          <w:lang w:eastAsia="zh-HK"/>
        </w:rPr>
        <w:t>assessment(s)</w:t>
      </w:r>
      <w:r>
        <w:rPr>
          <w:rStyle w:val="a5"/>
        </w:rPr>
        <w:t>.</w:t>
      </w:r>
    </w:p>
    <w:p w:rsidR="00362292" w:rsidRDefault="00362292">
      <w:pPr>
        <w:pStyle w:val="2"/>
        <w:numPr>
          <w:ilvl w:val="0"/>
          <w:numId w:val="2"/>
        </w:numPr>
        <w:rPr>
          <w:rStyle w:val="a5"/>
        </w:rPr>
      </w:pPr>
      <w:r>
        <w:rPr>
          <w:rStyle w:val="a5"/>
        </w:rPr>
        <w:t>On receipt of the information, an assessment will be made and you will be notified accordingly.</w:t>
      </w:r>
    </w:p>
    <w:p w:rsidR="00362292" w:rsidRDefault="00362292">
      <w:pPr>
        <w:pStyle w:val="2"/>
        <w:numPr>
          <w:ilvl w:val="0"/>
          <w:numId w:val="2"/>
        </w:numPr>
      </w:pPr>
      <w:r>
        <w:t>Personal data provided will be solely used for the purpose of application, and in this connection the data will be handled by the HKSS and other authorized organizations or agencies only.</w:t>
      </w:r>
    </w:p>
    <w:p w:rsidR="00362292" w:rsidRDefault="00362292">
      <w:pPr>
        <w:pStyle w:val="2"/>
        <w:numPr>
          <w:ilvl w:val="0"/>
          <w:numId w:val="2"/>
        </w:numPr>
      </w:pPr>
      <w:r>
        <w:t>Complete each item in BLOCK LETTERS and use BALL PEN only.</w:t>
      </w:r>
    </w:p>
    <w:p w:rsidR="00362292" w:rsidRDefault="00362292">
      <w:pPr>
        <w:pStyle w:val="2"/>
      </w:pPr>
      <w:r>
        <w:t>Charges:</w:t>
      </w:r>
    </w:p>
    <w:p w:rsidR="00362292" w:rsidRDefault="00362292">
      <w:pPr>
        <w:pStyle w:val="2"/>
        <w:numPr>
          <w:ilvl w:val="0"/>
          <w:numId w:val="3"/>
        </w:numPr>
        <w:rPr>
          <w:rStyle w:val="a5"/>
        </w:rPr>
      </w:pPr>
      <w:r>
        <w:t>A non-refundable administration fee of $</w:t>
      </w:r>
      <w:r w:rsidR="00AA3152">
        <w:rPr>
          <w:lang w:eastAsia="zh-HK"/>
        </w:rPr>
        <w:t>400</w:t>
      </w:r>
      <w:r w:rsidR="00AA3152">
        <w:t xml:space="preserve"> </w:t>
      </w:r>
      <w:r>
        <w:t xml:space="preserve">for each application </w:t>
      </w:r>
      <w:proofErr w:type="gramStart"/>
      <w:r>
        <w:t>will be charged</w:t>
      </w:r>
      <w:proofErr w:type="gramEnd"/>
      <w:r>
        <w:t xml:space="preserve"> when you submit this application form.  </w:t>
      </w:r>
      <w:r>
        <w:rPr>
          <w:rStyle w:val="a5"/>
        </w:rPr>
        <w:t xml:space="preserve">Exact amount should be paid by crossed </w:t>
      </w:r>
      <w:proofErr w:type="spellStart"/>
      <w:r>
        <w:rPr>
          <w:rStyle w:val="a5"/>
        </w:rPr>
        <w:t>cheque</w:t>
      </w:r>
      <w:proofErr w:type="spellEnd"/>
      <w:r>
        <w:rPr>
          <w:rStyle w:val="a5"/>
        </w:rPr>
        <w:t xml:space="preserve"> or bank draft made payable to “Hong Kong Statistical Society Limited” or by depositing into the Society’s HSBC bank account (A/C number: 110-479482-002).  The crossed </w:t>
      </w:r>
      <w:proofErr w:type="spellStart"/>
      <w:r>
        <w:rPr>
          <w:rStyle w:val="a5"/>
        </w:rPr>
        <w:t>cheque</w:t>
      </w:r>
      <w:proofErr w:type="spellEnd"/>
      <w:r>
        <w:rPr>
          <w:rStyle w:val="a5"/>
        </w:rPr>
        <w:t xml:space="preserve"> or bank draft or the </w:t>
      </w:r>
      <w:r>
        <w:rPr>
          <w:rStyle w:val="a5"/>
          <w:u w:val="single"/>
        </w:rPr>
        <w:t>original</w:t>
      </w:r>
      <w:r>
        <w:rPr>
          <w:rStyle w:val="a5"/>
        </w:rPr>
        <w:t xml:space="preserve"> bank receipt should be submitted together with the application form.  </w:t>
      </w:r>
      <w:r>
        <w:rPr>
          <w:rStyle w:val="a5"/>
          <w:u w:val="single"/>
        </w:rPr>
        <w:t>No cash</w:t>
      </w:r>
      <w:r>
        <w:rPr>
          <w:rStyle w:val="a5"/>
        </w:rPr>
        <w:t xml:space="preserve"> will be accepted.</w:t>
      </w:r>
    </w:p>
    <w:p w:rsidR="00362292" w:rsidRDefault="00362292">
      <w:pPr>
        <w:pStyle w:val="2"/>
        <w:numPr>
          <w:ilvl w:val="0"/>
          <w:numId w:val="3"/>
        </w:numPr>
        <w:rPr>
          <w:spacing w:val="-5"/>
          <w:kern w:val="0"/>
          <w:szCs w:val="20"/>
        </w:rPr>
      </w:pPr>
      <w:r>
        <w:rPr>
          <w:rFonts w:eastAsia="絡遺羹"/>
          <w:color w:val="000000"/>
          <w:kern w:val="0"/>
        </w:rPr>
        <w:t>Applicants will be notified of the assessment results by mail</w:t>
      </w:r>
      <w:r w:rsidR="005C64D2">
        <w:rPr>
          <w:rFonts w:eastAsia="絡遺羹" w:hint="eastAsia"/>
          <w:color w:val="000000"/>
          <w:kern w:val="0"/>
          <w:lang w:eastAsia="zh-HK"/>
        </w:rPr>
        <w:t xml:space="preserve"> or email</w:t>
      </w:r>
      <w:r>
        <w:rPr>
          <w:rFonts w:eastAsia="絡遺羹"/>
          <w:color w:val="000000"/>
          <w:kern w:val="0"/>
        </w:rPr>
        <w:t xml:space="preserve">.  If </w:t>
      </w:r>
      <w:r w:rsidR="00FD03A5">
        <w:rPr>
          <w:rFonts w:eastAsia="絡遺羹" w:hint="eastAsia"/>
          <w:color w:val="000000"/>
          <w:kern w:val="0"/>
          <w:lang w:eastAsia="zh-HK"/>
        </w:rPr>
        <w:t xml:space="preserve">it is assessed that the qualification possessed by applicants is equivalent to certain level of the 2017 examination </w:t>
      </w:r>
      <w:proofErr w:type="spellStart"/>
      <w:r w:rsidR="00FD03A5">
        <w:rPr>
          <w:rFonts w:eastAsia="絡遺羹"/>
          <w:color w:val="000000"/>
          <w:kern w:val="0"/>
          <w:lang w:eastAsia="zh-HK"/>
        </w:rPr>
        <w:t>organi</w:t>
      </w:r>
      <w:r w:rsidR="00FD03A5">
        <w:rPr>
          <w:rFonts w:eastAsia="絡遺羹" w:hint="eastAsia"/>
          <w:color w:val="000000"/>
          <w:kern w:val="0"/>
          <w:lang w:eastAsia="zh-HK"/>
        </w:rPr>
        <w:t>s</w:t>
      </w:r>
      <w:r w:rsidR="00FD03A5">
        <w:rPr>
          <w:rFonts w:eastAsia="絡遺羹"/>
          <w:color w:val="000000"/>
          <w:kern w:val="0"/>
          <w:lang w:eastAsia="zh-HK"/>
        </w:rPr>
        <w:t>ed</w:t>
      </w:r>
      <w:proofErr w:type="spellEnd"/>
      <w:r w:rsidR="00FD03A5">
        <w:rPr>
          <w:rFonts w:eastAsia="絡遺羹" w:hint="eastAsia"/>
          <w:color w:val="000000"/>
          <w:kern w:val="0"/>
          <w:lang w:eastAsia="zh-HK"/>
        </w:rPr>
        <w:t xml:space="preserve"> by the Society</w:t>
      </w:r>
      <w:r>
        <w:rPr>
          <w:rFonts w:eastAsia="絡遺羹"/>
          <w:color w:val="000000"/>
          <w:kern w:val="0"/>
        </w:rPr>
        <w:t xml:space="preserve">, the applicants </w:t>
      </w:r>
      <w:r w:rsidR="00FD03A5">
        <w:rPr>
          <w:rFonts w:eastAsia="絡遺羹" w:hint="eastAsia"/>
          <w:color w:val="000000"/>
          <w:kern w:val="0"/>
          <w:lang w:eastAsia="zh-HK"/>
        </w:rPr>
        <w:t xml:space="preserve">may choose </w:t>
      </w:r>
      <w:r>
        <w:rPr>
          <w:rFonts w:eastAsia="絡遺羹"/>
          <w:color w:val="000000"/>
          <w:kern w:val="0"/>
        </w:rPr>
        <w:t>to submit further fee</w:t>
      </w:r>
      <w:r>
        <w:rPr>
          <w:rFonts w:eastAsia="絡遺羹" w:hint="eastAsia"/>
          <w:color w:val="000000"/>
          <w:kern w:val="0"/>
        </w:rPr>
        <w:t>s</w:t>
      </w:r>
      <w:r>
        <w:rPr>
          <w:rFonts w:eastAsia="絡遺羹"/>
          <w:color w:val="000000"/>
          <w:kern w:val="0"/>
        </w:rPr>
        <w:t xml:space="preserve"> for </w:t>
      </w:r>
      <w:r w:rsidR="00642D88">
        <w:rPr>
          <w:rFonts w:eastAsia="絡遺羹" w:hint="eastAsia"/>
          <w:color w:val="000000"/>
          <w:kern w:val="0"/>
        </w:rPr>
        <w:t>obtaining a documentary proof for</w:t>
      </w:r>
      <w:r>
        <w:rPr>
          <w:rFonts w:eastAsia="絡遺羹" w:hint="eastAsia"/>
          <w:color w:val="000000"/>
          <w:kern w:val="0"/>
        </w:rPr>
        <w:t xml:space="preserve"> </w:t>
      </w:r>
      <w:r w:rsidR="00FD03A5">
        <w:rPr>
          <w:rFonts w:eastAsia="絡遺羹" w:hint="eastAsia"/>
          <w:color w:val="000000"/>
          <w:kern w:val="0"/>
          <w:lang w:eastAsia="zh-HK"/>
        </w:rPr>
        <w:t xml:space="preserve">the assessment </w:t>
      </w:r>
      <w:r>
        <w:rPr>
          <w:rFonts w:eastAsia="絡遺羹" w:hint="eastAsia"/>
          <w:color w:val="000000"/>
          <w:kern w:val="0"/>
        </w:rPr>
        <w:t>at the following scale:</w:t>
      </w:r>
    </w:p>
    <w:p w:rsidR="00362292" w:rsidRDefault="00362292" w:rsidP="009321C8">
      <w:pPr>
        <w:pStyle w:val="2"/>
        <w:tabs>
          <w:tab w:val="left" w:pos="5529"/>
        </w:tabs>
        <w:rPr>
          <w:spacing w:val="-5"/>
          <w:kern w:val="0"/>
          <w:szCs w:val="20"/>
          <w:u w:val="single"/>
        </w:rPr>
      </w:pPr>
      <w:r>
        <w:rPr>
          <w:rFonts w:eastAsia="絡遺羹" w:hint="eastAsia"/>
          <w:color w:val="000000"/>
          <w:kern w:val="0"/>
        </w:rPr>
        <w:tab/>
      </w:r>
      <w:r w:rsidR="00F63BEC">
        <w:rPr>
          <w:rFonts w:eastAsia="絡遺羹" w:hint="eastAsia"/>
          <w:color w:val="000000"/>
          <w:kern w:val="0"/>
          <w:u w:val="single"/>
          <w:lang w:eastAsia="zh-HK"/>
        </w:rPr>
        <w:t>Certificate</w:t>
      </w:r>
      <w:r w:rsidR="00EB0D69">
        <w:rPr>
          <w:rFonts w:eastAsia="絡遺羹" w:hint="eastAsia"/>
          <w:color w:val="000000"/>
          <w:kern w:val="0"/>
          <w:u w:val="single"/>
          <w:lang w:eastAsia="zh-HK"/>
        </w:rPr>
        <w:t xml:space="preserve"> of Academic Assessment </w:t>
      </w:r>
      <w:r>
        <w:rPr>
          <w:rFonts w:eastAsia="絡遺羹" w:hint="eastAsia"/>
          <w:color w:val="000000"/>
          <w:kern w:val="0"/>
          <w:u w:val="single"/>
        </w:rPr>
        <w:t>fee</w:t>
      </w:r>
    </w:p>
    <w:p w:rsidR="00362292" w:rsidRDefault="00362292">
      <w:pPr>
        <w:pStyle w:val="2"/>
        <w:ind w:leftChars="200" w:left="784" w:hangingChars="160" w:hanging="304"/>
        <w:rPr>
          <w:rStyle w:val="a5"/>
        </w:rPr>
      </w:pPr>
      <w:r>
        <w:rPr>
          <w:rStyle w:val="a5"/>
          <w:rFonts w:hint="eastAsia"/>
        </w:rPr>
        <w:t>a)</w:t>
      </w:r>
      <w:r>
        <w:rPr>
          <w:rStyle w:val="a5"/>
          <w:rFonts w:hint="eastAsia"/>
        </w:rPr>
        <w:tab/>
        <w:t xml:space="preserve">Ordinary </w:t>
      </w:r>
      <w:proofErr w:type="gramStart"/>
      <w:r>
        <w:rPr>
          <w:rStyle w:val="a5"/>
          <w:rFonts w:hint="eastAsia"/>
        </w:rPr>
        <w:t>certificate :</w:t>
      </w:r>
      <w:proofErr w:type="gramEnd"/>
      <w:r>
        <w:rPr>
          <w:rStyle w:val="a5"/>
          <w:rFonts w:hint="eastAsia"/>
        </w:rPr>
        <w:t xml:space="preserve"> </w:t>
      </w:r>
      <w:r w:rsidR="003C399A">
        <w:rPr>
          <w:rStyle w:val="a5"/>
          <w:rFonts w:hint="eastAsia"/>
        </w:rPr>
        <w:t>Modular form</w:t>
      </w:r>
      <w:r>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FD03A5">
        <w:rPr>
          <w:rStyle w:val="a5"/>
          <w:rFonts w:hint="eastAsia"/>
          <w:lang w:eastAsia="zh-HK"/>
        </w:rPr>
        <w:t>200</w:t>
      </w:r>
      <w:r w:rsidR="00FD03A5">
        <w:rPr>
          <w:rStyle w:val="a5"/>
          <w:rFonts w:hint="eastAsia"/>
        </w:rPr>
        <w:t xml:space="preserve"> </w:t>
      </w:r>
      <w:r w:rsidR="003C399A">
        <w:rPr>
          <w:rStyle w:val="a5"/>
          <w:rFonts w:hint="eastAsia"/>
        </w:rPr>
        <w:t>per module</w:t>
      </w:r>
    </w:p>
    <w:p w:rsidR="00362292" w:rsidRDefault="00362292" w:rsidP="00B063FA">
      <w:pPr>
        <w:pStyle w:val="2"/>
        <w:ind w:leftChars="200" w:left="784" w:hangingChars="160" w:hanging="304"/>
        <w:rPr>
          <w:rStyle w:val="a5"/>
        </w:rPr>
      </w:pPr>
      <w:r>
        <w:rPr>
          <w:rStyle w:val="a5"/>
          <w:rFonts w:hint="eastAsia"/>
        </w:rPr>
        <w:t>b)</w:t>
      </w:r>
      <w:r>
        <w:rPr>
          <w:rStyle w:val="a5"/>
          <w:rFonts w:hint="eastAsia"/>
        </w:rPr>
        <w:tab/>
        <w:t xml:space="preserve">Higher </w:t>
      </w:r>
      <w:proofErr w:type="gramStart"/>
      <w:r>
        <w:rPr>
          <w:rStyle w:val="a5"/>
          <w:rFonts w:hint="eastAsia"/>
        </w:rPr>
        <w:t>certificate :</w:t>
      </w:r>
      <w:proofErr w:type="gramEnd"/>
      <w:r>
        <w:rPr>
          <w:rStyle w:val="a5"/>
          <w:rFonts w:hint="eastAsia"/>
        </w:rPr>
        <w:t xml:space="preserve">  Modular form </w:t>
      </w:r>
      <w:r w:rsidR="00F24E2F">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53732B">
        <w:rPr>
          <w:rStyle w:val="a5"/>
        </w:rPr>
        <w:t>250</w:t>
      </w:r>
      <w:r w:rsidR="0053732B">
        <w:rPr>
          <w:rStyle w:val="a5"/>
          <w:rFonts w:hint="eastAsia"/>
        </w:rPr>
        <w:t xml:space="preserve"> </w:t>
      </w:r>
      <w:r>
        <w:rPr>
          <w:rStyle w:val="a5"/>
          <w:rFonts w:hint="eastAsia"/>
        </w:rPr>
        <w:t>per module</w:t>
      </w:r>
    </w:p>
    <w:p w:rsidR="00F24E2F" w:rsidRDefault="00362292" w:rsidP="00B063FA">
      <w:pPr>
        <w:pStyle w:val="2"/>
        <w:ind w:leftChars="199" w:left="782" w:rightChars="-217" w:right="-521" w:hangingChars="160" w:hanging="304"/>
        <w:jc w:val="left"/>
        <w:rPr>
          <w:rStyle w:val="a5"/>
        </w:rPr>
      </w:pPr>
      <w:r>
        <w:rPr>
          <w:rStyle w:val="a5"/>
          <w:rFonts w:hint="eastAsia"/>
        </w:rPr>
        <w:t>c)</w:t>
      </w:r>
      <w:r>
        <w:rPr>
          <w:rStyle w:val="a5"/>
          <w:rFonts w:hint="eastAsia"/>
        </w:rPr>
        <w:tab/>
        <w:t xml:space="preserve">Graduate </w:t>
      </w:r>
      <w:proofErr w:type="gramStart"/>
      <w:r>
        <w:rPr>
          <w:rStyle w:val="a5"/>
          <w:rFonts w:hint="eastAsia"/>
        </w:rPr>
        <w:t>diploma :</w:t>
      </w:r>
      <w:proofErr w:type="gramEnd"/>
      <w:r>
        <w:rPr>
          <w:rStyle w:val="a5"/>
          <w:rFonts w:hint="eastAsia"/>
        </w:rPr>
        <w:t xml:space="preserve"> </w:t>
      </w:r>
      <w:r>
        <w:rPr>
          <w:rStyle w:val="a5"/>
          <w:rFonts w:hint="eastAsia"/>
        </w:rPr>
        <w:tab/>
      </w:r>
      <w:r w:rsidR="00F24E2F">
        <w:rPr>
          <w:rStyle w:val="a5"/>
          <w:rFonts w:hint="eastAsia"/>
        </w:rPr>
        <w:t xml:space="preserve">Modular form </w:t>
      </w:r>
      <w:r w:rsidR="00E82FD5">
        <w:rPr>
          <w:rStyle w:val="a5"/>
          <w:rFonts w:hint="eastAsia"/>
        </w:rPr>
        <w:tab/>
      </w:r>
      <w:r w:rsidR="00F24E2F">
        <w:rPr>
          <w:rStyle w:val="a5"/>
          <w:rFonts w:hint="eastAsia"/>
        </w:rPr>
        <w:tab/>
      </w:r>
      <w:r w:rsidR="00F24E2F">
        <w:rPr>
          <w:rStyle w:val="a5"/>
          <w:rFonts w:hint="eastAsia"/>
        </w:rPr>
        <w:tab/>
        <w:t xml:space="preserve"> </w:t>
      </w:r>
      <w:r w:rsidR="00F24E2F">
        <w:rPr>
          <w:rStyle w:val="a5"/>
          <w:rFonts w:hint="eastAsia"/>
        </w:rPr>
        <w:tab/>
      </w:r>
      <w:r w:rsidR="00F24E2F">
        <w:rPr>
          <w:rStyle w:val="a5"/>
          <w:rFonts w:hint="eastAsia"/>
        </w:rPr>
        <w:tab/>
        <w:t>$</w:t>
      </w:r>
      <w:r w:rsidR="0053732B">
        <w:rPr>
          <w:rStyle w:val="a5"/>
        </w:rPr>
        <w:t>350</w:t>
      </w:r>
      <w:r w:rsidR="0053732B">
        <w:rPr>
          <w:rStyle w:val="a5"/>
          <w:rFonts w:hint="eastAsia"/>
        </w:rPr>
        <w:t xml:space="preserve"> </w:t>
      </w:r>
      <w:r w:rsidR="00F24E2F">
        <w:rPr>
          <w:rStyle w:val="a5"/>
          <w:rFonts w:hint="eastAsia"/>
        </w:rPr>
        <w:t>per module</w:t>
      </w:r>
    </w:p>
    <w:p w:rsidR="00362292" w:rsidRPr="000D77EB" w:rsidRDefault="00362292">
      <w:pPr>
        <w:pStyle w:val="2"/>
        <w:ind w:leftChars="200" w:left="784" w:hangingChars="160" w:hanging="304"/>
        <w:rPr>
          <w:rStyle w:val="a5"/>
        </w:rPr>
      </w:pPr>
    </w:p>
    <w:p w:rsidR="00362292" w:rsidRDefault="00362292">
      <w:pPr>
        <w:pStyle w:val="2"/>
        <w:numPr>
          <w:ilvl w:val="0"/>
          <w:numId w:val="3"/>
        </w:numPr>
        <w:rPr>
          <w:rFonts w:eastAsia="絡遺羹"/>
          <w:color w:val="000000"/>
          <w:kern w:val="0"/>
        </w:rPr>
      </w:pPr>
      <w:r>
        <w:rPr>
          <w:rFonts w:eastAsia="絡遺羹"/>
          <w:color w:val="000000"/>
          <w:kern w:val="0"/>
        </w:rPr>
        <w:t xml:space="preserve">Fees </w:t>
      </w:r>
      <w:r>
        <w:rPr>
          <w:rFonts w:eastAsia="絡遺羹" w:hint="eastAsia"/>
          <w:color w:val="000000"/>
          <w:kern w:val="0"/>
        </w:rPr>
        <w:t>mentioned in this form</w:t>
      </w:r>
      <w:r>
        <w:rPr>
          <w:rFonts w:eastAsia="絡遺羹"/>
          <w:color w:val="000000"/>
          <w:kern w:val="0"/>
        </w:rPr>
        <w:t xml:space="preserve"> are subject to review/adjustment.</w:t>
      </w:r>
    </w:p>
    <w:p w:rsidR="00362292" w:rsidRDefault="00362292">
      <w:pPr>
        <w:pStyle w:val="2"/>
        <w:rPr>
          <w:rFonts w:eastAsia="絡遺羹"/>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2709"/>
        <w:gridCol w:w="1566"/>
        <w:gridCol w:w="2881"/>
      </w:tblGrid>
      <w:tr w:rsidR="00362292">
        <w:trPr>
          <w:trHeight w:val="763"/>
        </w:trPr>
        <w:tc>
          <w:tcPr>
            <w:tcW w:w="1738" w:type="dxa"/>
            <w:shd w:val="pct15" w:color="auto" w:fill="auto"/>
            <w:vAlign w:val="bottom"/>
          </w:tcPr>
          <w:p w:rsidR="00362292" w:rsidRDefault="00362292">
            <w:pPr>
              <w:pStyle w:val="a8"/>
              <w:ind w:left="120" w:right="146"/>
              <w:jc w:val="both"/>
            </w:pPr>
            <w:r>
              <w:t>Signature</w:t>
            </w:r>
          </w:p>
        </w:tc>
        <w:tc>
          <w:tcPr>
            <w:tcW w:w="2709" w:type="dxa"/>
            <w:vAlign w:val="bottom"/>
          </w:tcPr>
          <w:p w:rsidR="00362292" w:rsidRDefault="00362292">
            <w:pPr>
              <w:pStyle w:val="ad"/>
              <w:ind w:left="84" w:right="122"/>
            </w:pPr>
          </w:p>
        </w:tc>
        <w:tc>
          <w:tcPr>
            <w:tcW w:w="1566" w:type="dxa"/>
            <w:shd w:val="pct15" w:color="auto" w:fill="auto"/>
            <w:vAlign w:val="bottom"/>
          </w:tcPr>
          <w:p w:rsidR="00362292" w:rsidRDefault="00362292">
            <w:pPr>
              <w:pStyle w:val="a8"/>
              <w:ind w:left="120" w:right="146"/>
              <w:jc w:val="both"/>
            </w:pPr>
            <w:r>
              <w:t>Date</w:t>
            </w:r>
          </w:p>
        </w:tc>
        <w:tc>
          <w:tcPr>
            <w:tcW w:w="2881" w:type="dxa"/>
            <w:vAlign w:val="bottom"/>
          </w:tcPr>
          <w:p w:rsidR="00362292" w:rsidRDefault="00362292">
            <w:pPr>
              <w:pStyle w:val="ad"/>
              <w:ind w:left="84" w:right="122"/>
            </w:pPr>
          </w:p>
        </w:tc>
      </w:tr>
    </w:tbl>
    <w:p w:rsidR="00304E0E" w:rsidRPr="00304E0E" w:rsidRDefault="00304E0E" w:rsidP="00304E0E">
      <w:pPr>
        <w:rPr>
          <w:vanish/>
        </w:rPr>
      </w:pPr>
    </w:p>
    <w:p w:rsidR="0001523D" w:rsidRDefault="00B74FC0" w:rsidP="0001523D">
      <w:pPr>
        <w:widowControl/>
        <w:jc w:val="right"/>
        <w:rPr>
          <w:rFonts w:ascii="Arial" w:hAnsi="Arial" w:cs="Arial"/>
          <w:b/>
          <w:bCs/>
          <w:sz w:val="28"/>
        </w:rPr>
      </w:pPr>
      <w:r>
        <w:rPr>
          <w:lang w:val="en-US"/>
        </w:rPr>
        <w:br w:type="page"/>
      </w:r>
      <w:r w:rsidR="0001523D">
        <w:rPr>
          <w:rFonts w:ascii="Arial" w:hAnsi="Arial" w:cs="Arial"/>
          <w:b/>
          <w:bCs/>
          <w:sz w:val="28"/>
        </w:rPr>
        <w:lastRenderedPageBreak/>
        <w:t>Appendix</w:t>
      </w:r>
    </w:p>
    <w:p w:rsidR="0001523D" w:rsidRDefault="0001523D" w:rsidP="0001523D">
      <w:pPr>
        <w:widowControl/>
        <w:jc w:val="right"/>
        <w:rPr>
          <w:lang w:val="en-US"/>
        </w:rPr>
      </w:pPr>
      <w:bookmarkStart w:id="0" w:name="_GoBack"/>
      <w:bookmarkEnd w:id="0"/>
    </w:p>
    <w:p w:rsidR="006D3AA9" w:rsidRPr="008C4D14" w:rsidRDefault="006D3AA9" w:rsidP="006D3AA9">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8C4D14">
        <w:rPr>
          <w:rFonts w:ascii="Arial" w:hAnsi="Arial" w:cs="Arial"/>
          <w:b/>
          <w:bCs/>
          <w:sz w:val="28"/>
        </w:rPr>
        <w:t>HIGHER CERTIFICATE IN STATISTICS</w:t>
      </w:r>
    </w:p>
    <w:p w:rsidR="006D3AA9" w:rsidRDefault="006D3AA9" w:rsidP="006D3AA9">
      <w:pPr>
        <w:autoSpaceDE w:val="0"/>
        <w:autoSpaceDN w:val="0"/>
        <w:adjustRightInd w:val="0"/>
        <w:jc w:val="center"/>
        <w:rPr>
          <w:b/>
          <w:bCs/>
          <w:sz w:val="28"/>
        </w:rPr>
      </w:pPr>
    </w:p>
    <w:p w:rsidR="006D3AA9" w:rsidRDefault="006D3AA9" w:rsidP="006D3AA9">
      <w:pPr>
        <w:autoSpaceDE w:val="0"/>
        <w:autoSpaceDN w:val="0"/>
        <w:adjustRightInd w:val="0"/>
        <w:jc w:val="center"/>
        <w:rPr>
          <w:b/>
          <w:bCs/>
          <w:sz w:val="28"/>
        </w:rPr>
      </w:pPr>
      <w:r>
        <w:rPr>
          <w:b/>
          <w:bCs/>
          <w:sz w:val="28"/>
        </w:rPr>
        <w:t>MODULE 1:  Data collection and interpretation</w:t>
      </w:r>
    </w:p>
    <w:p w:rsidR="006D3AA9" w:rsidRPr="00367490" w:rsidRDefault="006D3AA9" w:rsidP="006D3AA9">
      <w:pPr>
        <w:rPr>
          <w:sz w:val="20"/>
        </w:rPr>
      </w:pPr>
    </w:p>
    <w:tbl>
      <w:tblPr>
        <w:tblW w:w="10075"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40"/>
        <w:gridCol w:w="4535"/>
      </w:tblGrid>
      <w:tr w:rsidR="006D3AA9" w:rsidRPr="00A51196" w:rsidTr="006D3AA9">
        <w:trPr>
          <w:trHeight w:val="399"/>
        </w:trPr>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5"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6D3AA9">
        <w:trPr>
          <w:trHeight w:val="1377"/>
        </w:trPr>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Summarising and interpreting data</w:t>
            </w:r>
          </w:p>
          <w:p w:rsidR="006D3AA9" w:rsidRPr="00A51196" w:rsidRDefault="006D3AA9" w:rsidP="00AC6A76">
            <w:pPr>
              <w:pStyle w:val="31"/>
              <w:rPr>
                <w:sz w:val="4"/>
                <w:szCs w:val="12"/>
              </w:rPr>
            </w:pPr>
          </w:p>
          <w:p w:rsidR="006D3AA9" w:rsidRPr="000258CF" w:rsidRDefault="006D3AA9" w:rsidP="00AC6A76">
            <w:pPr>
              <w:pStyle w:val="31"/>
              <w:spacing w:beforeLines="20" w:before="48"/>
            </w:pPr>
            <w:r w:rsidRPr="000258CF">
              <w:t>Frequency distributions.  Numerical and graphical forms of presentation and statistical interpretation.</w:t>
            </w:r>
          </w:p>
          <w:p w:rsidR="006D3AA9" w:rsidRPr="000258CF" w:rsidRDefault="006D3AA9" w:rsidP="00AC6A76">
            <w:pPr>
              <w:pStyle w:val="31"/>
            </w:pPr>
            <w:r w:rsidRPr="000258CF">
              <w:t xml:space="preserve">Scatter diagrams, time charts, stem and leaf diagrams, histograms, bar charts, pie charts, frequency and cumulative frequency curves, boxplots (box and whisker plots), </w:t>
            </w:r>
            <w:proofErr w:type="spellStart"/>
            <w:r w:rsidRPr="000258CF">
              <w:t>dotplots</w:t>
            </w:r>
            <w:proofErr w:type="spellEnd"/>
            <w:r w:rsidRPr="000258CF">
              <w:t>.</w:t>
            </w:r>
          </w:p>
          <w:p w:rsidR="006D3AA9" w:rsidRPr="000258CF" w:rsidRDefault="006D3AA9" w:rsidP="00AC6A76">
            <w:pPr>
              <w:pStyle w:val="31"/>
            </w:pPr>
            <w:r w:rsidRPr="000258CF">
              <w:t>Summary statistics for measures of location, variability and skewness.</w:t>
            </w:r>
          </w:p>
        </w:tc>
        <w:tc>
          <w:tcPr>
            <w:tcW w:w="4535"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i/>
                <w:iCs/>
                <w:sz w:val="14"/>
                <w:szCs w:val="14"/>
              </w:rPr>
            </w:pPr>
          </w:p>
        </w:tc>
      </w:tr>
      <w:tr w:rsidR="006D3AA9" w:rsidRPr="00A51196" w:rsidTr="006D3AA9">
        <w:tc>
          <w:tcPr>
            <w:tcW w:w="5540" w:type="dxa"/>
            <w:shd w:val="clear" w:color="auto" w:fill="auto"/>
          </w:tcPr>
          <w:p w:rsidR="006D3AA9" w:rsidRPr="00A51196" w:rsidRDefault="006D3AA9" w:rsidP="00AC6A76">
            <w:pPr>
              <w:pStyle w:val="31"/>
              <w:rPr>
                <w:b/>
              </w:rPr>
            </w:pPr>
            <w:r w:rsidRPr="00A51196">
              <w:rPr>
                <w:b/>
              </w:rPr>
              <w:t>Surveys</w:t>
            </w:r>
          </w:p>
          <w:p w:rsidR="006D3AA9" w:rsidRPr="00A51196" w:rsidRDefault="006D3AA9" w:rsidP="00AC6A76">
            <w:pPr>
              <w:pStyle w:val="31"/>
              <w:rPr>
                <w:sz w:val="4"/>
                <w:szCs w:val="12"/>
              </w:rPr>
            </w:pPr>
          </w:p>
          <w:p w:rsidR="006D3AA9" w:rsidRPr="000258CF" w:rsidRDefault="006D3AA9" w:rsidP="00AC6A76">
            <w:pPr>
              <w:pStyle w:val="31"/>
              <w:spacing w:beforeLines="20" w:before="48"/>
            </w:pPr>
            <w:r w:rsidRPr="000258CF">
              <w:t>Target and study populations.  Sampling frames.  Problems arising in the collection of data.</w:t>
            </w:r>
          </w:p>
          <w:p w:rsidR="006D3AA9" w:rsidRPr="00A51196" w:rsidRDefault="006D3AA9" w:rsidP="00AC6A76">
            <w:pPr>
              <w:autoSpaceDE w:val="0"/>
              <w:autoSpaceDN w:val="0"/>
              <w:adjustRightInd w:val="0"/>
              <w:jc w:val="both"/>
              <w:rPr>
                <w:sz w:val="20"/>
                <w:szCs w:val="20"/>
              </w:rPr>
            </w:pPr>
            <w:r w:rsidRPr="00A51196">
              <w:rPr>
                <w:sz w:val="20"/>
                <w:szCs w:val="20"/>
              </w:rPr>
              <w:t>Censuses, sample surveys and routine collection of data at intervals of time.</w:t>
            </w:r>
          </w:p>
        </w:tc>
        <w:tc>
          <w:tcPr>
            <w:tcW w:w="4535"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0258CF" w:rsidRDefault="006D3AA9" w:rsidP="00AC6A76">
            <w:pPr>
              <w:pStyle w:val="31"/>
            </w:pPr>
            <w:r w:rsidRPr="000258CF">
              <w:t>Design of questionnaires and forms for collecting data.</w:t>
            </w:r>
          </w:p>
          <w:p w:rsidR="006D3AA9" w:rsidRPr="000258CF" w:rsidRDefault="006D3AA9" w:rsidP="00AC6A76">
            <w:pPr>
              <w:pStyle w:val="31"/>
            </w:pPr>
            <w:r w:rsidRPr="000258CF">
              <w:t>Personal and telephone interviews, postal enquiries, pilot enquiries.</w:t>
            </w:r>
          </w:p>
          <w:p w:rsidR="006D3AA9" w:rsidRPr="00A51196" w:rsidRDefault="006D3AA9" w:rsidP="00AC6A76">
            <w:pPr>
              <w:autoSpaceDE w:val="0"/>
              <w:autoSpaceDN w:val="0"/>
              <w:adjustRightInd w:val="0"/>
              <w:jc w:val="both"/>
              <w:rPr>
                <w:sz w:val="20"/>
                <w:szCs w:val="20"/>
              </w:rPr>
            </w:pPr>
            <w:r w:rsidRPr="00A51196">
              <w:rPr>
                <w:sz w:val="20"/>
                <w:szCs w:val="20"/>
              </w:rPr>
              <w:t>Problems of non-response, bias among interviewers, question bias, non-sampling errors.</w:t>
            </w:r>
          </w:p>
        </w:tc>
        <w:tc>
          <w:tcPr>
            <w:tcW w:w="4535"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i/>
                <w:iCs/>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Simple random sampling.  Uses and limitations.  Estimators for means, </w:t>
            </w:r>
            <w:proofErr w:type="gramStart"/>
            <w:r w:rsidRPr="00A51196">
              <w:rPr>
                <w:sz w:val="20"/>
                <w:szCs w:val="20"/>
              </w:rPr>
              <w:t>totals and proportions</w:t>
            </w:r>
            <w:proofErr w:type="gramEnd"/>
            <w:r w:rsidRPr="00A51196">
              <w:rPr>
                <w:sz w:val="20"/>
                <w:szCs w:val="20"/>
              </w:rPr>
              <w:t xml:space="preserve"> and the variances of these estimators.</w:t>
            </w:r>
          </w:p>
        </w:tc>
        <w:tc>
          <w:tcPr>
            <w:tcW w:w="4535"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sz w:val="20"/>
                <w:szCs w:val="20"/>
              </w:rPr>
              <w:t>Use of other practical methods of sampling:   systematic sampling, cluster sampling, quota sampling, stratified random sampling and multi-stage sampling.</w:t>
            </w:r>
          </w:p>
        </w:tc>
        <w:tc>
          <w:tcPr>
            <w:tcW w:w="4535"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Exploratory analysis</w:t>
            </w:r>
          </w:p>
          <w:p w:rsidR="006D3AA9" w:rsidRPr="00A51196" w:rsidRDefault="006D3AA9" w:rsidP="00AC6A76">
            <w:pPr>
              <w:autoSpaceDE w:val="0"/>
              <w:autoSpaceDN w:val="0"/>
              <w:adjustRightInd w:val="0"/>
              <w:jc w:val="both"/>
              <w:rPr>
                <w:sz w:val="4"/>
                <w:szCs w:val="12"/>
              </w:rPr>
            </w:pPr>
          </w:p>
          <w:p w:rsidR="006D3AA9" w:rsidRPr="00A51196" w:rsidRDefault="006D3AA9" w:rsidP="00AC6A76">
            <w:pPr>
              <w:autoSpaceDE w:val="0"/>
              <w:autoSpaceDN w:val="0"/>
              <w:adjustRightInd w:val="0"/>
              <w:spacing w:beforeLines="20" w:before="48"/>
              <w:jc w:val="both"/>
              <w:rPr>
                <w:sz w:val="20"/>
                <w:szCs w:val="20"/>
              </w:rPr>
            </w:pPr>
            <w:r w:rsidRPr="00A51196">
              <w:rPr>
                <w:sz w:val="20"/>
                <w:szCs w:val="20"/>
              </w:rPr>
              <w:t xml:space="preserve">Candidates should be prepared to examine a set of data, to choose and carry out suitable methods of analysis, to answer questions from non-statistical users and to present the analysis and conclusions in the form of a short report.  The techniques required may be of the simplest kind, e.g. plotting, grouping, transforming or calculating from the data.  Candidates </w:t>
            </w:r>
            <w:proofErr w:type="gramStart"/>
            <w:r w:rsidRPr="00A51196">
              <w:rPr>
                <w:sz w:val="20"/>
                <w:szCs w:val="20"/>
              </w:rPr>
              <w:t>will be expected</w:t>
            </w:r>
            <w:proofErr w:type="gramEnd"/>
            <w:r w:rsidRPr="00A51196">
              <w:rPr>
                <w:sz w:val="20"/>
                <w:szCs w:val="20"/>
              </w:rPr>
              <w:t xml:space="preserve"> to use box-plots and other similar graphical displays.</w:t>
            </w:r>
          </w:p>
        </w:tc>
        <w:tc>
          <w:tcPr>
            <w:tcW w:w="4535" w:type="dxa"/>
            <w:vMerge w:val="restart"/>
            <w:shd w:val="clear" w:color="auto" w:fill="auto"/>
          </w:tcPr>
          <w:p w:rsidR="006D3AA9" w:rsidRPr="00A51196" w:rsidRDefault="006D3AA9" w:rsidP="00AC6A76">
            <w:pPr>
              <w:autoSpaceDE w:val="0"/>
              <w:autoSpaceDN w:val="0"/>
              <w:adjustRightInd w:val="0"/>
              <w:spacing w:beforeLines="30" w:before="72"/>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4"/>
                <w:szCs w:val="12"/>
              </w:rPr>
            </w:pPr>
            <w:r w:rsidRPr="00A51196">
              <w:rPr>
                <w:b/>
                <w:sz w:val="20"/>
                <w:szCs w:val="20"/>
              </w:rPr>
              <w:t>Report writing</w:t>
            </w:r>
          </w:p>
          <w:p w:rsidR="006D3AA9" w:rsidRPr="00A51196" w:rsidRDefault="006D3AA9" w:rsidP="00AC6A76">
            <w:pPr>
              <w:autoSpaceDE w:val="0"/>
              <w:autoSpaceDN w:val="0"/>
              <w:adjustRightInd w:val="0"/>
              <w:spacing w:beforeLines="20" w:before="48"/>
              <w:jc w:val="both"/>
              <w:rPr>
                <w:sz w:val="20"/>
                <w:szCs w:val="20"/>
              </w:rPr>
            </w:pPr>
            <w:r w:rsidRPr="00A51196">
              <w:rPr>
                <w:sz w:val="20"/>
                <w:szCs w:val="20"/>
              </w:rPr>
              <w:t xml:space="preserve">Candidates should be prepared to produce a well-ordered, well-reasoned argument in a style suitable for a designated readership.  (This readership could be, for example, non-statistical colleagues, managers, or users of official reports.)  Candidates </w:t>
            </w:r>
            <w:proofErr w:type="gramStart"/>
            <w:r w:rsidRPr="00A51196">
              <w:rPr>
                <w:sz w:val="20"/>
                <w:szCs w:val="20"/>
              </w:rPr>
              <w:t>will be expected</w:t>
            </w:r>
            <w:proofErr w:type="gramEnd"/>
            <w:r w:rsidRPr="00A51196">
              <w:rPr>
                <w:sz w:val="20"/>
                <w:szCs w:val="20"/>
              </w:rPr>
              <w:t xml:space="preserve"> to make use of graphical methods to summarise data and identify unusual features.</w:t>
            </w:r>
          </w:p>
        </w:tc>
        <w:tc>
          <w:tcPr>
            <w:tcW w:w="4535"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pStyle w:val="2"/>
              <w:widowControl/>
              <w:rPr>
                <w:sz w:val="14"/>
                <w:szCs w:val="14"/>
              </w:rPr>
            </w:pPr>
          </w:p>
        </w:tc>
      </w:tr>
      <w:tr w:rsidR="006D3AA9" w:rsidRPr="006D3AA9" w:rsidTr="006D3AA9">
        <w:tc>
          <w:tcPr>
            <w:tcW w:w="5540" w:type="dxa"/>
            <w:shd w:val="clear" w:color="auto" w:fill="auto"/>
          </w:tcPr>
          <w:p w:rsidR="006D3AA9" w:rsidRPr="006D3AA9" w:rsidRDefault="006D3AA9" w:rsidP="006D3AA9">
            <w:pPr>
              <w:autoSpaceDE w:val="0"/>
              <w:autoSpaceDN w:val="0"/>
              <w:adjustRightInd w:val="0"/>
              <w:jc w:val="both"/>
              <w:rPr>
                <w:b/>
                <w:sz w:val="20"/>
                <w:szCs w:val="20"/>
              </w:rPr>
            </w:pPr>
            <w:r w:rsidRPr="006D3AA9">
              <w:rPr>
                <w:b/>
                <w:sz w:val="20"/>
                <w:szCs w:val="20"/>
              </w:rPr>
              <w:t>Interpretation of published data</w:t>
            </w:r>
          </w:p>
        </w:tc>
        <w:tc>
          <w:tcPr>
            <w:tcW w:w="4535" w:type="dxa"/>
            <w:vMerge/>
            <w:shd w:val="clear" w:color="auto" w:fill="auto"/>
          </w:tcPr>
          <w:p w:rsidR="006D3AA9" w:rsidRPr="006D3AA9" w:rsidRDefault="006D3AA9" w:rsidP="006D3AA9">
            <w:pPr>
              <w:autoSpaceDE w:val="0"/>
              <w:autoSpaceDN w:val="0"/>
              <w:adjustRightInd w:val="0"/>
              <w:jc w:val="both"/>
              <w:rPr>
                <w:b/>
                <w:sz w:val="20"/>
                <w:szCs w:val="20"/>
              </w:rPr>
            </w:pPr>
          </w:p>
        </w:tc>
      </w:tr>
    </w:tbl>
    <w:p w:rsidR="006D3AA9" w:rsidRPr="00B64D83" w:rsidRDefault="006D3AA9" w:rsidP="006D3AA9">
      <w:pPr>
        <w:rPr>
          <w:sz w:val="16"/>
          <w:szCs w:val="16"/>
        </w:rPr>
      </w:pPr>
    </w:p>
    <w:p w:rsidR="006D3AA9" w:rsidRDefault="006D3AA9" w:rsidP="006D3AA9">
      <w:pPr>
        <w:jc w:val="center"/>
        <w:rPr>
          <w:b/>
          <w:bCs/>
          <w:sz w:val="28"/>
        </w:rPr>
      </w:pPr>
      <w:r>
        <w:br w:type="page"/>
      </w:r>
      <w:r>
        <w:rPr>
          <w:b/>
          <w:bCs/>
          <w:sz w:val="28"/>
        </w:rPr>
        <w:lastRenderedPageBreak/>
        <w:t>MODULE 2:  Probability models</w:t>
      </w:r>
    </w:p>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rPr>
            </w:pPr>
            <w:r w:rsidRPr="00A51196">
              <w:rPr>
                <w:b/>
                <w:sz w:val="20"/>
              </w:rPr>
              <w:t>Probability</w:t>
            </w:r>
          </w:p>
          <w:p w:rsidR="006D3AA9" w:rsidRPr="00A51196" w:rsidRDefault="006D3AA9" w:rsidP="00AC6A76">
            <w:pPr>
              <w:autoSpaceDE w:val="0"/>
              <w:autoSpaceDN w:val="0"/>
              <w:adjustRightInd w:val="0"/>
              <w:jc w:val="both"/>
              <w:rPr>
                <w:sz w:val="20"/>
              </w:rPr>
            </w:pPr>
          </w:p>
          <w:p w:rsidR="006D3AA9" w:rsidRPr="00A51196" w:rsidRDefault="006D3AA9" w:rsidP="00AC6A76">
            <w:pPr>
              <w:autoSpaceDE w:val="0"/>
              <w:autoSpaceDN w:val="0"/>
              <w:adjustRightInd w:val="0"/>
              <w:jc w:val="both"/>
              <w:rPr>
                <w:sz w:val="20"/>
                <w:szCs w:val="20"/>
              </w:rPr>
            </w:pPr>
            <w:r w:rsidRPr="00A51196">
              <w:rPr>
                <w:sz w:val="20"/>
              </w:rPr>
              <w:t>Definitions of probability: equally likely outcomes; relative frequency; degrees of belief.  Addition and multiplication of probabilities, conditional probability, statistical independence.  Bayes' theorem.</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b/>
                <w:b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Random variables.  Discrete and continuous probability distributions.  Probability mass function, probability density function, cumulative distribution function.  Simple theory of elementary probability distributions, including discrete uniform, Bernoulli, binomial, Poisson, geometric, negative binomial, hypergeometric, Normal, exponential, gamma and continuous uniform.</w:t>
            </w:r>
          </w:p>
        </w:tc>
        <w:tc>
          <w:tcPr>
            <w:tcW w:w="4536" w:type="dxa"/>
            <w:vMerge w:val="restart"/>
            <w:shd w:val="clear" w:color="auto" w:fill="auto"/>
          </w:tcPr>
          <w:p w:rsidR="006D3AA9" w:rsidRPr="00A51196" w:rsidRDefault="006D3AA9" w:rsidP="00AC6A76">
            <w:pPr>
              <w:autoSpaceDE w:val="0"/>
              <w:autoSpaceDN w:val="0"/>
              <w:adjustRightInd w:val="0"/>
              <w:jc w:val="both"/>
              <w:rPr>
                <w:bCs/>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Properties of 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Expectation and variance; their general properties and values for standard distributions.</w:t>
            </w:r>
          </w:p>
        </w:tc>
        <w:tc>
          <w:tcPr>
            <w:tcW w:w="4536"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Distributions, means and variances of sums of independent and identically distributed random variables and simple functions, such as </w:t>
            </w:r>
            <w:proofErr w:type="spellStart"/>
            <w:r w:rsidRPr="00A51196">
              <w:rPr>
                <w:i/>
                <w:iCs/>
                <w:sz w:val="20"/>
                <w:szCs w:val="20"/>
              </w:rPr>
              <w:t>aX</w:t>
            </w:r>
            <w:proofErr w:type="spellEnd"/>
            <w:r w:rsidRPr="00A51196">
              <w:rPr>
                <w:i/>
                <w:iCs/>
                <w:sz w:val="20"/>
                <w:szCs w:val="20"/>
              </w:rPr>
              <w:t xml:space="preserve"> + b</w:t>
            </w:r>
            <w:r w:rsidRPr="00A51196">
              <w:rPr>
                <w:sz w:val="20"/>
                <w:szCs w:val="20"/>
              </w:rPr>
              <w:t xml:space="preserve">.  Linear combinations of independent Normally distributed variables. </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Statement and use of central limit theorem for independent, identically distributed random variables with finite variance.</w:t>
            </w:r>
          </w:p>
          <w:p w:rsidR="006D3AA9" w:rsidRPr="00A51196" w:rsidRDefault="006D3AA9" w:rsidP="00AC6A76">
            <w:pPr>
              <w:autoSpaceDE w:val="0"/>
              <w:autoSpaceDN w:val="0"/>
              <w:adjustRightInd w:val="0"/>
              <w:jc w:val="both"/>
              <w:rPr>
                <w:sz w:val="20"/>
                <w:szCs w:val="20"/>
              </w:rPr>
            </w:pPr>
            <w:r w:rsidRPr="00A51196">
              <w:rPr>
                <w:sz w:val="20"/>
                <w:szCs w:val="20"/>
              </w:rPr>
              <w:t xml:space="preserve">Use of </w:t>
            </w:r>
            <w:smartTag w:uri="urn:schemas-microsoft-com:office:smarttags" w:element="place">
              <w:r w:rsidRPr="00A51196">
                <w:rPr>
                  <w:sz w:val="20"/>
                  <w:szCs w:val="20"/>
                </w:rPr>
                <w:t>Normal</w:t>
              </w:r>
            </w:smartTag>
            <w:r w:rsidRPr="00A51196">
              <w:rPr>
                <w:sz w:val="20"/>
                <w:szCs w:val="20"/>
              </w:rPr>
              <w:t xml:space="preserve"> approximations, including those for binomial and Poisson distributions.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 w:rsidR="006D3AA9" w:rsidRDefault="006D3AA9" w:rsidP="006D3AA9">
      <w:pPr>
        <w:jc w:val="center"/>
        <w:rPr>
          <w:b/>
          <w:bCs/>
          <w:sz w:val="28"/>
        </w:rPr>
      </w:pPr>
      <w:r>
        <w:br w:type="page"/>
      </w:r>
      <w:r>
        <w:rPr>
          <w:b/>
          <w:bCs/>
          <w:sz w:val="28"/>
        </w:rPr>
        <w:lastRenderedPageBreak/>
        <w:t>MODULE 3:  Basic statistical methods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Inference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Sample and population.  Concept of a sampling distribution.  Standard error.</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Point and interval estimates.  Construction and interpretation of confidence limits.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Hypothesis tests, test statistic, one- and two-sided tests.</w:t>
            </w:r>
          </w:p>
          <w:p w:rsidR="006D3AA9" w:rsidRPr="00A51196" w:rsidRDefault="006D3AA9" w:rsidP="00AC6A76">
            <w:pPr>
              <w:autoSpaceDE w:val="0"/>
              <w:autoSpaceDN w:val="0"/>
              <w:adjustRightInd w:val="0"/>
              <w:jc w:val="both"/>
              <w:rPr>
                <w:sz w:val="20"/>
                <w:szCs w:val="20"/>
              </w:rPr>
            </w:pPr>
            <w:r w:rsidRPr="00A51196">
              <w:rPr>
                <w:sz w:val="20"/>
                <w:szCs w:val="20"/>
              </w:rPr>
              <w:t xml:space="preserve">Significance level.  Type </w:t>
            </w:r>
            <w:proofErr w:type="gramStart"/>
            <w:r w:rsidRPr="00A51196">
              <w:rPr>
                <w:sz w:val="20"/>
                <w:szCs w:val="20"/>
              </w:rPr>
              <w:t>I and II errors</w:t>
            </w:r>
            <w:proofErr w:type="gramEnd"/>
            <w:r w:rsidRPr="00A51196">
              <w:rPr>
                <w:sz w:val="20"/>
                <w:szCs w:val="20"/>
              </w:rPr>
              <w:t>.  Power as 1–</w:t>
            </w:r>
            <w:proofErr w:type="gramStart"/>
            <w:r w:rsidRPr="00A51196">
              <w:rPr>
                <w:i/>
                <w:iCs/>
                <w:sz w:val="20"/>
                <w:szCs w:val="20"/>
              </w:rPr>
              <w:t>P</w:t>
            </w:r>
            <w:r w:rsidRPr="00A51196">
              <w:rPr>
                <w:sz w:val="20"/>
                <w:szCs w:val="20"/>
              </w:rPr>
              <w:t>(</w:t>
            </w:r>
            <w:proofErr w:type="gramEnd"/>
            <w:r w:rsidRPr="00A51196">
              <w:rPr>
                <w:sz w:val="20"/>
                <w:szCs w:val="20"/>
              </w:rPr>
              <w:t>type II error).</w:t>
            </w: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Use of </w:t>
            </w:r>
            <w:smartTag w:uri="urn:schemas-microsoft-com:office:smarttags" w:element="place">
              <w:smartTag w:uri="urn:schemas-microsoft-com:office:smarttags" w:element="City">
                <w:r w:rsidRPr="00A51196">
                  <w:rPr>
                    <w:sz w:val="20"/>
                    <w:szCs w:val="20"/>
                  </w:rPr>
                  <w:t>Normal</w:t>
                </w:r>
              </w:smartTag>
            </w:smartTag>
            <w:r w:rsidRPr="00A51196">
              <w:rPr>
                <w:sz w:val="20"/>
                <w:szCs w:val="20"/>
              </w:rPr>
              <w:t xml:space="preserve">, </w:t>
            </w:r>
            <w:r w:rsidRPr="00A51196">
              <w:rPr>
                <w:i/>
                <w:iCs/>
                <w:sz w:val="20"/>
                <w:szCs w:val="20"/>
              </w:rPr>
              <w:t>t</w:t>
            </w:r>
            <w:r w:rsidRPr="00A51196">
              <w:rPr>
                <w:sz w:val="20"/>
                <w:szCs w:val="20"/>
              </w:rPr>
              <w:t xml:space="preserve">, </w:t>
            </w:r>
            <w:r w:rsidRPr="00A51196">
              <w:rPr>
                <w:sz w:val="20"/>
                <w:szCs w:val="20"/>
              </w:rPr>
              <w:sym w:font="Symbol" w:char="F063"/>
            </w:r>
            <w:r w:rsidRPr="00A51196">
              <w:rPr>
                <w:sz w:val="20"/>
                <w:szCs w:val="20"/>
                <w:vertAlign w:val="superscript"/>
              </w:rPr>
              <w:t>2</w:t>
            </w:r>
            <w:r w:rsidRPr="00A51196">
              <w:rPr>
                <w:sz w:val="20"/>
                <w:szCs w:val="20"/>
              </w:rPr>
              <w:t xml:space="preserve"> and </w:t>
            </w:r>
            <w:r w:rsidRPr="00A51196">
              <w:rPr>
                <w:i/>
                <w:iCs/>
                <w:sz w:val="20"/>
                <w:szCs w:val="20"/>
              </w:rPr>
              <w:t>F</w:t>
            </w:r>
            <w:r w:rsidRPr="00A51196">
              <w:rPr>
                <w:sz w:val="20"/>
                <w:szCs w:val="20"/>
              </w:rPr>
              <w:t xml:space="preserve"> distributions in testing and interval estimation.</w:t>
            </w:r>
          </w:p>
          <w:p w:rsidR="006D3AA9" w:rsidRPr="00A51196" w:rsidRDefault="006D3AA9" w:rsidP="00AC6A76">
            <w:pPr>
              <w:autoSpaceDE w:val="0"/>
              <w:autoSpaceDN w:val="0"/>
              <w:adjustRightInd w:val="0"/>
              <w:jc w:val="both"/>
              <w:rPr>
                <w:sz w:val="20"/>
                <w:szCs w:val="20"/>
              </w:rPr>
            </w:pPr>
            <w:r w:rsidRPr="00A51196">
              <w:rPr>
                <w:sz w:val="20"/>
                <w:szCs w:val="20"/>
              </w:rPr>
              <w:t>Paired and unpaired two-sample tests.</w:t>
            </w:r>
          </w:p>
        </w:tc>
        <w:tc>
          <w:tcPr>
            <w:tcW w:w="4536" w:type="dxa"/>
            <w:vMerge/>
            <w:shd w:val="clear" w:color="auto" w:fill="auto"/>
          </w:tcPr>
          <w:p w:rsidR="006D3AA9" w:rsidRPr="00A51196" w:rsidRDefault="006D3AA9" w:rsidP="00AC6A76">
            <w:pPr>
              <w:pStyle w:val="2"/>
              <w:rPr>
                <w:i/>
                <w:iCs/>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Power curves.</w:t>
            </w:r>
          </w:p>
        </w:tc>
        <w:tc>
          <w:tcPr>
            <w:tcW w:w="4536" w:type="dxa"/>
            <w:vMerge/>
            <w:shd w:val="clear" w:color="auto" w:fill="auto"/>
          </w:tcPr>
          <w:p w:rsidR="006D3AA9" w:rsidRPr="00A51196" w:rsidRDefault="006D3AA9" w:rsidP="00AC6A76">
            <w:pPr>
              <w:autoSpaceDE w:val="0"/>
              <w:autoSpaceDN w:val="0"/>
              <w:adjustRightInd w:val="0"/>
              <w:jc w:val="both"/>
              <w:rPr>
                <w:sz w:val="16"/>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The </w:t>
            </w:r>
            <w:r w:rsidRPr="00A51196">
              <w:rPr>
                <w:rFonts w:ascii="Symbol" w:hAnsi="Symbol"/>
                <w:sz w:val="20"/>
                <w:szCs w:val="20"/>
              </w:rPr>
              <w:t></w:t>
            </w:r>
            <w:r w:rsidRPr="00A51196">
              <w:rPr>
                <w:sz w:val="20"/>
                <w:szCs w:val="20"/>
                <w:vertAlign w:val="superscript"/>
              </w:rPr>
              <w:t>2</w:t>
            </w:r>
            <w:r w:rsidRPr="00A51196">
              <w:rPr>
                <w:sz w:val="20"/>
                <w:szCs w:val="20"/>
              </w:rPr>
              <w:t xml:space="preserve"> goodness-of-fit test of standard distributions to observed data.</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Analysis of two-way contingency tables</w:t>
            </w:r>
            <w:proofErr w:type="gramStart"/>
            <w:r w:rsidRPr="00A51196">
              <w:rPr>
                <w:sz w:val="20"/>
                <w:szCs w:val="20"/>
              </w:rPr>
              <w:t xml:space="preserve">;  </w:t>
            </w:r>
            <w:proofErr w:type="gramEnd"/>
            <w:r w:rsidRPr="00A51196">
              <w:rPr>
                <w:sz w:val="20"/>
                <w:szCs w:val="20"/>
              </w:rPr>
              <w:sym w:font="Symbol" w:char="F063"/>
            </w:r>
            <w:r w:rsidRPr="00A51196">
              <w:rPr>
                <w:sz w:val="20"/>
                <w:szCs w:val="20"/>
                <w:vertAlign w:val="superscript"/>
              </w:rPr>
              <w:t>2</w:t>
            </w:r>
            <w:r w:rsidRPr="00A51196">
              <w:rPr>
                <w:sz w:val="20"/>
                <w:szCs w:val="20"/>
              </w:rPr>
              <w:t xml:space="preserve"> test for association.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roofErr w:type="spellStart"/>
            <w:r w:rsidRPr="00A51196">
              <w:rPr>
                <w:sz w:val="20"/>
                <w:szCs w:val="20"/>
              </w:rPr>
              <w:t>McNemar’s</w:t>
            </w:r>
            <w:proofErr w:type="spellEnd"/>
            <w:r w:rsidRPr="00A51196">
              <w:rPr>
                <w:sz w:val="20"/>
                <w:szCs w:val="20"/>
              </w:rPr>
              <w:t xml:space="preserve"> test.</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Non-parametric methods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Use of non-parametric and distribution-free significance tests for paired and unpaired data:  sign test, Wilcoxon rank sum test (Mann-Whitney </w:t>
            </w:r>
            <w:r w:rsidRPr="00A51196">
              <w:rPr>
                <w:i/>
                <w:iCs/>
                <w:sz w:val="20"/>
                <w:szCs w:val="20"/>
              </w:rPr>
              <w:t>U</w:t>
            </w:r>
            <w:r w:rsidRPr="00A51196">
              <w:rPr>
                <w:sz w:val="20"/>
                <w:szCs w:val="20"/>
              </w:rPr>
              <w:t xml:space="preserve"> test), </w:t>
            </w:r>
            <w:proofErr w:type="gramStart"/>
            <w:r w:rsidRPr="00A51196">
              <w:rPr>
                <w:sz w:val="20"/>
                <w:szCs w:val="20"/>
              </w:rPr>
              <w:t>Wilcoxon</w:t>
            </w:r>
            <w:proofErr w:type="gramEnd"/>
            <w:r w:rsidRPr="00A51196">
              <w:rPr>
                <w:sz w:val="20"/>
                <w:szCs w:val="20"/>
              </w:rPr>
              <w:t xml:space="preserve"> signed-rank test.</w:t>
            </w:r>
          </w:p>
        </w:tc>
        <w:tc>
          <w:tcPr>
            <w:tcW w:w="4536" w:type="dxa"/>
            <w:shd w:val="clear" w:color="auto" w:fill="auto"/>
          </w:tcPr>
          <w:p w:rsidR="006D3AA9" w:rsidRPr="00A51196" w:rsidRDefault="006D3AA9" w:rsidP="00AC6A76">
            <w:pPr>
              <w:autoSpaceDE w:val="0"/>
              <w:autoSpaceDN w:val="0"/>
              <w:adjustRightInd w:val="0"/>
              <w:jc w:val="both"/>
              <w:rPr>
                <w:sz w:val="20"/>
                <w:szCs w:val="20"/>
              </w:rPr>
            </w:pPr>
          </w:p>
        </w:tc>
      </w:tr>
    </w:tbl>
    <w:p w:rsidR="006D3AA9" w:rsidRDefault="006D3AA9" w:rsidP="006D3AA9">
      <w:pPr>
        <w:autoSpaceDE w:val="0"/>
        <w:autoSpaceDN w:val="0"/>
        <w:adjustRightInd w:val="0"/>
        <w:rPr>
          <w:sz w:val="20"/>
          <w:szCs w:val="20"/>
        </w:rPr>
      </w:pPr>
    </w:p>
    <w:p w:rsidR="006D3AA9" w:rsidRDefault="006D3AA9" w:rsidP="006D3AA9">
      <w:pPr>
        <w:jc w:val="center"/>
        <w:rPr>
          <w:b/>
          <w:bCs/>
          <w:sz w:val="28"/>
        </w:rPr>
      </w:pPr>
      <w:r>
        <w:br w:type="page"/>
      </w:r>
      <w:r>
        <w:rPr>
          <w:b/>
          <w:bCs/>
          <w:sz w:val="28"/>
        </w:rPr>
        <w:lastRenderedPageBreak/>
        <w:t>MODULE 4:  Linear models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pStyle w:val="af0"/>
              <w:autoSpaceDE w:val="0"/>
              <w:autoSpaceDN w:val="0"/>
              <w:adjustRightInd w:val="0"/>
              <w:ind w:left="1921" w:hanging="961"/>
              <w:jc w:val="both"/>
              <w:rPr>
                <w:b/>
              </w:rPr>
            </w:pPr>
            <w:r w:rsidRPr="00A51196">
              <w:rPr>
                <w:b/>
              </w:rPr>
              <w:t>Correlation</w:t>
            </w:r>
          </w:p>
          <w:p w:rsidR="006D3AA9" w:rsidRPr="000258CF" w:rsidRDefault="006D3AA9" w:rsidP="00AC6A76">
            <w:pPr>
              <w:pStyle w:val="af0"/>
              <w:autoSpaceDE w:val="0"/>
              <w:autoSpaceDN w:val="0"/>
              <w:adjustRightInd w:val="0"/>
              <w:ind w:left="1920" w:hanging="960"/>
              <w:jc w:val="both"/>
            </w:pPr>
          </w:p>
          <w:p w:rsidR="006D3AA9" w:rsidRPr="000258CF" w:rsidRDefault="006D3AA9" w:rsidP="00AC6A76">
            <w:pPr>
              <w:pStyle w:val="af0"/>
              <w:autoSpaceDE w:val="0"/>
              <w:autoSpaceDN w:val="0"/>
              <w:adjustRightInd w:val="0"/>
              <w:ind w:left="1920" w:hanging="960"/>
              <w:jc w:val="both"/>
            </w:pPr>
            <w:r w:rsidRPr="000258CF">
              <w:t>Product-moment correlation (Pearson).  Rank correlation – Spearman’s coefficient.  Calculation and interpretation.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Design of experiments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Reasons for experimentation, causality.</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b/>
                <w:bCs/>
                <w:sz w:val="20"/>
                <w:szCs w:val="20"/>
              </w:rPr>
            </w:pPr>
            <w:r w:rsidRPr="00A51196">
              <w:rPr>
                <w:sz w:val="20"/>
                <w:szCs w:val="20"/>
              </w:rPr>
              <w:t>Principles of replication and randomisation, completely randomised design.</w:t>
            </w:r>
          </w:p>
        </w:tc>
        <w:tc>
          <w:tcPr>
            <w:tcW w:w="4536"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Regression</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Simple linear regression.  Least squares estimation.</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Multiple linear regression – concepts, interpretation of computer output, inference for regression coefficients using estimates and estimated standard errors from computer output.</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Analysis of variance for regression models.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Calculation and interpretation of the multiple correlation coefficient (coefficient of determination).</w:t>
            </w:r>
          </w:p>
        </w:tc>
        <w:tc>
          <w:tcPr>
            <w:tcW w:w="4536" w:type="dxa"/>
            <w:vMerge w:val="restart"/>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Cs/>
                <w:sz w:val="20"/>
                <w:szCs w:val="20"/>
              </w:rPr>
            </w:pPr>
            <w:r w:rsidRPr="00A51196">
              <w:rPr>
                <w:bCs/>
                <w:sz w:val="20"/>
                <w:szCs w:val="20"/>
              </w:rPr>
              <w:t>Simple cases of transforming to linearity.</w:t>
            </w:r>
          </w:p>
        </w:tc>
        <w:tc>
          <w:tcPr>
            <w:tcW w:w="4536" w:type="dxa"/>
            <w:vMerge/>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Analysis of variance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One-way analysis of variance.</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Inference for means and for differences in means.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Pr>
        <w:autoSpaceDE w:val="0"/>
        <w:autoSpaceDN w:val="0"/>
        <w:adjustRightInd w:val="0"/>
        <w:rPr>
          <w:sz w:val="20"/>
          <w:szCs w:val="30"/>
          <w:u w:val="single"/>
        </w:rPr>
      </w:pPr>
    </w:p>
    <w:p w:rsidR="006D3AA9" w:rsidRDefault="006D3AA9" w:rsidP="006D3AA9">
      <w:pPr>
        <w:jc w:val="center"/>
        <w:rPr>
          <w:b/>
          <w:bCs/>
          <w:sz w:val="28"/>
        </w:rPr>
      </w:pPr>
      <w:r>
        <w:br w:type="page"/>
      </w:r>
      <w:r>
        <w:rPr>
          <w:b/>
          <w:bCs/>
          <w:sz w:val="28"/>
        </w:rPr>
        <w:lastRenderedPageBreak/>
        <w:t>MODULE 5:  Further probability and inference</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0258CF" w:rsidRDefault="006D3AA9" w:rsidP="00AC6A76">
            <w:pPr>
              <w:pStyle w:val="3"/>
              <w:widowControl/>
            </w:pPr>
            <w:r w:rsidRPr="000258CF">
              <w:t>Bivariate 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Simple bivariate discrete distributions.  Joint, conditional and marginal distributions:  probability mass function, expectation and variance.  Covariance and correlation.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rPr>
              <w:t>Simple bivariate continuous distributions.  Joint, conditional and marginal distributions:  probability density function, expectation and variance.  Covariance and correlation.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The bivariate Normal distribution.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Generating functions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Probability and moment generating functions.</w:t>
            </w:r>
          </w:p>
          <w:p w:rsidR="006D3AA9" w:rsidRPr="00A51196" w:rsidRDefault="006D3AA9" w:rsidP="00AC6A76">
            <w:pPr>
              <w:autoSpaceDE w:val="0"/>
              <w:autoSpaceDN w:val="0"/>
              <w:adjustRightInd w:val="0"/>
              <w:jc w:val="both"/>
              <w:rPr>
                <w:sz w:val="20"/>
                <w:szCs w:val="20"/>
              </w:rPr>
            </w:pPr>
            <w:r w:rsidRPr="00A51196">
              <w:rPr>
                <w:sz w:val="20"/>
                <w:szCs w:val="20"/>
              </w:rPr>
              <w:t>Use to find expectations and variances.  Use to establish the distribution of sums of random variables.</w:t>
            </w:r>
          </w:p>
        </w:tc>
        <w:tc>
          <w:tcPr>
            <w:tcW w:w="4536" w:type="dxa"/>
            <w:vMerge w:val="restart"/>
            <w:shd w:val="clear" w:color="auto" w:fill="auto"/>
          </w:tcPr>
          <w:p w:rsidR="006D3AA9" w:rsidRPr="00A51196" w:rsidRDefault="006D3AA9" w:rsidP="00AC6A76">
            <w:pPr>
              <w:pStyle w:val="2"/>
              <w:widowControl/>
              <w:rPr>
                <w:bCs/>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i/>
                <w:iCs/>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Inference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The likelihood function.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16"/>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Estimation of a single parameter of a distribution using the method of moments and the method of maximum likelihood.</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Cs/>
                <w:sz w:val="20"/>
                <w:szCs w:val="20"/>
              </w:rPr>
            </w:pPr>
            <w:r w:rsidRPr="00A51196">
              <w:rPr>
                <w:bCs/>
                <w:sz w:val="20"/>
                <w:szCs w:val="20"/>
              </w:rPr>
              <w:t>Properties of point estimators.  Range, unbiasedness, consistency.  Efficiency and relative efficiency.</w:t>
            </w:r>
          </w:p>
        </w:tc>
        <w:tc>
          <w:tcPr>
            <w:tcW w:w="4536" w:type="dxa"/>
            <w:vMerge/>
            <w:shd w:val="clear" w:color="auto" w:fill="auto"/>
          </w:tcPr>
          <w:p w:rsidR="006D3AA9" w:rsidRPr="00A51196" w:rsidRDefault="006D3AA9" w:rsidP="00AC6A76">
            <w:pPr>
              <w:autoSpaceDE w:val="0"/>
              <w:autoSpaceDN w:val="0"/>
              <w:adjustRightInd w:val="0"/>
              <w:jc w:val="both"/>
              <w:rPr>
                <w:bCs/>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Calculation of approximate variance of a maximum likelihood estimator using second derivative of log likelihood.</w:t>
            </w:r>
          </w:p>
        </w:tc>
        <w:tc>
          <w:tcPr>
            <w:tcW w:w="4536" w:type="dxa"/>
            <w:vMerge/>
            <w:shd w:val="clear" w:color="auto" w:fill="auto"/>
          </w:tcPr>
          <w:p w:rsidR="006D3AA9" w:rsidRPr="00A51196" w:rsidRDefault="006D3AA9" w:rsidP="00AC6A76">
            <w:pPr>
              <w:autoSpaceDE w:val="0"/>
              <w:autoSpaceDN w:val="0"/>
              <w:adjustRightInd w:val="0"/>
              <w:jc w:val="both"/>
              <w:rPr>
                <w:i/>
                <w:iCs/>
                <w:sz w:val="16"/>
                <w:szCs w:val="20"/>
              </w:rPr>
            </w:pPr>
          </w:p>
        </w:tc>
      </w:tr>
    </w:tbl>
    <w:p w:rsidR="006D3AA9" w:rsidRDefault="006D3AA9" w:rsidP="006D3AA9"/>
    <w:p w:rsidR="006D3AA9" w:rsidRDefault="006D3AA9" w:rsidP="006D3AA9">
      <w:pPr>
        <w:jc w:val="center"/>
        <w:rPr>
          <w:b/>
          <w:bCs/>
          <w:sz w:val="28"/>
        </w:rPr>
      </w:pPr>
      <w:r>
        <w:br w:type="page"/>
      </w:r>
      <w:r>
        <w:rPr>
          <w:b/>
          <w:bCs/>
          <w:sz w:val="28"/>
        </w:rPr>
        <w:lastRenderedPageBreak/>
        <w:t>MODULE 6:  Further applications of statistics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Design and analysis of experiments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Principles of design including randomisation, blinding, pairing and blocking. </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Randomised block designs.  Latin squares. </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Factorial treatment structure with two factors. Advantages of factorial experimentation. Diagrammatic explanation of interaction.</w:t>
            </w:r>
          </w:p>
          <w:p w:rsidR="006D3AA9" w:rsidRPr="00A51196" w:rsidRDefault="006D3AA9" w:rsidP="00AC6A76">
            <w:pPr>
              <w:autoSpaceDE w:val="0"/>
              <w:autoSpaceDN w:val="0"/>
              <w:adjustRightInd w:val="0"/>
              <w:jc w:val="both"/>
              <w:rPr>
                <w:sz w:val="20"/>
                <w:szCs w:val="20"/>
              </w:rPr>
            </w:pPr>
            <w:r w:rsidRPr="00A51196">
              <w:rPr>
                <w:sz w:val="20"/>
                <w:szCs w:val="20"/>
              </w:rPr>
              <w:t>Two-way analysis of variance.</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Residuals and their use in checking assumptions.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sz w:val="20"/>
                <w:szCs w:val="20"/>
              </w:rPr>
              <w:t>Multiple regression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Least squares estimation for multiple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Regression through the origin.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Use of backwards elimination in multiple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Polynomial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Use of indicator variables to model factors or qualitative variables.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Residuals and their use in checking assumptions.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sz w:val="20"/>
                <w:szCs w:val="20"/>
              </w:rPr>
              <w:t>Quality control and acceptance sampling</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Charts for mean and range for </w:t>
            </w:r>
            <w:smartTag w:uri="urn:schemas-microsoft-com:office:smarttags" w:element="place">
              <w:r w:rsidRPr="00A51196">
                <w:rPr>
                  <w:sz w:val="20"/>
                  <w:szCs w:val="20"/>
                </w:rPr>
                <w:t>Normal</w:t>
              </w:r>
            </w:smartTag>
            <w:r w:rsidRPr="00A51196">
              <w:rPr>
                <w:sz w:val="20"/>
                <w:szCs w:val="20"/>
              </w:rPr>
              <w:t xml:space="preserve"> data.  Charts for proportions.</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roofErr w:type="spellStart"/>
            <w:r w:rsidRPr="00A51196">
              <w:rPr>
                <w:sz w:val="20"/>
                <w:szCs w:val="20"/>
              </w:rPr>
              <w:t>Cusum</w:t>
            </w:r>
            <w:proofErr w:type="spellEnd"/>
            <w:r w:rsidRPr="00A51196">
              <w:rPr>
                <w:sz w:val="20"/>
                <w:szCs w:val="20"/>
              </w:rPr>
              <w:t xml:space="preserve"> charts.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Attribute sampling.  Single and double sampling schemes.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 w:rsidR="006D3AA9" w:rsidRDefault="006D3AA9" w:rsidP="006D3AA9">
      <w:pPr>
        <w:jc w:val="center"/>
        <w:rPr>
          <w:b/>
          <w:sz w:val="28"/>
          <w:szCs w:val="28"/>
        </w:rPr>
      </w:pPr>
      <w:r>
        <w:br w:type="page"/>
      </w:r>
      <w:r>
        <w:rPr>
          <w:b/>
          <w:sz w:val="28"/>
          <w:szCs w:val="28"/>
        </w:rPr>
        <w:lastRenderedPageBreak/>
        <w:t>MODULE 7:  Time Series and Index Numbers</w:t>
      </w:r>
    </w:p>
    <w:p w:rsidR="006D3AA9" w:rsidRDefault="006D3AA9" w:rsidP="006D3AA9">
      <w:pPr>
        <w:rPr>
          <w:sz w:val="28"/>
          <w:szCs w:val="28"/>
        </w:rPr>
      </w:pPr>
    </w:p>
    <w:tbl>
      <w:tblPr>
        <w:tblW w:w="97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Time series</w:t>
            </w:r>
          </w:p>
          <w:p w:rsidR="006D3AA9" w:rsidRPr="00A51196" w:rsidRDefault="006D3AA9" w:rsidP="00AC6A76">
            <w:pPr>
              <w:jc w:val="both"/>
              <w:rPr>
                <w:b/>
                <w:sz w:val="20"/>
                <w:szCs w:val="20"/>
              </w:rPr>
            </w:pPr>
          </w:p>
        </w:tc>
        <w:tc>
          <w:tcPr>
            <w:tcW w:w="4536" w:type="dxa"/>
            <w:vMerge w:val="restart"/>
            <w:shd w:val="clear" w:color="auto" w:fill="auto"/>
          </w:tcPr>
          <w:p w:rsidR="006D3AA9" w:rsidRPr="00A51196" w:rsidRDefault="006D3AA9" w:rsidP="00AC6A76">
            <w:pPr>
              <w:jc w:val="both"/>
              <w:rPr>
                <w:sz w:val="20"/>
                <w:szCs w:val="20"/>
              </w:rPr>
            </w:pPr>
          </w:p>
        </w:tc>
      </w:tr>
      <w:tr w:rsidR="006D3AA9" w:rsidRPr="00A51196" w:rsidTr="00AC6A76">
        <w:tc>
          <w:tcPr>
            <w:tcW w:w="5245" w:type="dxa"/>
            <w:shd w:val="clear" w:color="auto" w:fill="auto"/>
          </w:tcPr>
          <w:p w:rsidR="006D3AA9" w:rsidRPr="00A51196" w:rsidRDefault="006D3AA9" w:rsidP="00AC6A76">
            <w:pPr>
              <w:jc w:val="both"/>
              <w:rPr>
                <w:sz w:val="20"/>
                <w:szCs w:val="20"/>
              </w:rPr>
            </w:pPr>
            <w:r w:rsidRPr="00A51196">
              <w:rPr>
                <w:sz w:val="20"/>
                <w:szCs w:val="20"/>
              </w:rPr>
              <w:t>Decomposition of time series into trend, cycles, seasonal variation and residual (irregular) variation.</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Estimation of trend using regression or moving averages.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Examination of seasonal terms in time series decompositions. Seasonal adjustment using regression or moving averages.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Elementary forecasting methods: exponential smoothing and Holt-Winters.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Introduction to ARIMA models.</w:t>
            </w:r>
          </w:p>
          <w:p w:rsidR="006D3AA9" w:rsidRPr="00A51196" w:rsidRDefault="006D3AA9" w:rsidP="00AC6A76">
            <w:pPr>
              <w:jc w:val="both"/>
              <w:rPr>
                <w:sz w:val="20"/>
                <w:szCs w:val="20"/>
              </w:rPr>
            </w:pPr>
          </w:p>
          <w:p w:rsidR="006D3AA9" w:rsidRPr="00A51196" w:rsidRDefault="006D3AA9" w:rsidP="00AC6A76">
            <w:pPr>
              <w:jc w:val="both"/>
              <w:rPr>
                <w:sz w:val="20"/>
                <w:szCs w:val="20"/>
              </w:rPr>
            </w:pP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Examination and interpretation of residuals from fitted models.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Interpretation of computer output.</w:t>
            </w:r>
          </w:p>
          <w:p w:rsidR="006D3AA9" w:rsidRPr="00A51196" w:rsidRDefault="006D3AA9" w:rsidP="00AC6A76">
            <w:pPr>
              <w:jc w:val="both"/>
              <w:rPr>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Index numbers</w:t>
            </w:r>
          </w:p>
        </w:tc>
        <w:tc>
          <w:tcPr>
            <w:tcW w:w="4536" w:type="dxa"/>
            <w:vMerge w:val="restart"/>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16"/>
                <w:szCs w:val="20"/>
              </w:rPr>
            </w:pPr>
          </w:p>
        </w:tc>
        <w:tc>
          <w:tcPr>
            <w:tcW w:w="4536" w:type="dxa"/>
            <w:vMerge/>
            <w:shd w:val="clear" w:color="auto" w:fill="auto"/>
          </w:tcPr>
          <w:p w:rsidR="006D3AA9" w:rsidRPr="00A51196" w:rsidRDefault="006D3AA9" w:rsidP="00AC6A76">
            <w:pPr>
              <w:jc w:val="both"/>
              <w:rPr>
                <w:i/>
                <w:sz w:val="16"/>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Introduction to index numbers</w:t>
            </w:r>
          </w:p>
          <w:p w:rsidR="006D3AA9" w:rsidRPr="00A51196" w:rsidRDefault="006D3AA9" w:rsidP="00AC6A76">
            <w:pPr>
              <w:jc w:val="both"/>
              <w:rPr>
                <w:sz w:val="20"/>
                <w:szCs w:val="20"/>
              </w:rPr>
            </w:pPr>
            <w:r w:rsidRPr="00A51196">
              <w:rPr>
                <w:sz w:val="20"/>
                <w:szCs w:val="20"/>
              </w:rPr>
              <w:t xml:space="preserve">Index numbers and their uses.  Simple price relatives, </w:t>
            </w:r>
            <w:proofErr w:type="spellStart"/>
            <w:r w:rsidRPr="00A51196">
              <w:rPr>
                <w:sz w:val="20"/>
                <w:szCs w:val="20"/>
              </w:rPr>
              <w:t>Laspeyres</w:t>
            </w:r>
            <w:proofErr w:type="spellEnd"/>
            <w:r w:rsidRPr="00A51196">
              <w:rPr>
                <w:sz w:val="20"/>
                <w:szCs w:val="20"/>
              </w:rPr>
              <w:t xml:space="preserve"> and </w:t>
            </w:r>
            <w:proofErr w:type="spellStart"/>
            <w:r w:rsidRPr="00A51196">
              <w:rPr>
                <w:sz w:val="20"/>
                <w:szCs w:val="20"/>
              </w:rPr>
              <w:t>Paasche</w:t>
            </w:r>
            <w:proofErr w:type="spellEnd"/>
            <w:r w:rsidRPr="00A51196">
              <w:rPr>
                <w:sz w:val="20"/>
                <w:szCs w:val="20"/>
              </w:rPr>
              <w:t xml:space="preserve">.  Relationship between </w:t>
            </w:r>
            <w:proofErr w:type="spellStart"/>
            <w:r w:rsidRPr="00A51196">
              <w:rPr>
                <w:sz w:val="20"/>
                <w:szCs w:val="20"/>
              </w:rPr>
              <w:t>Laspeyres</w:t>
            </w:r>
            <w:proofErr w:type="spellEnd"/>
            <w:r w:rsidRPr="00A51196">
              <w:rPr>
                <w:sz w:val="20"/>
                <w:szCs w:val="20"/>
              </w:rPr>
              <w:t xml:space="preserve"> and </w:t>
            </w:r>
            <w:proofErr w:type="spellStart"/>
            <w:r w:rsidRPr="00A51196">
              <w:rPr>
                <w:sz w:val="20"/>
                <w:szCs w:val="20"/>
              </w:rPr>
              <w:t>Paasche</w:t>
            </w:r>
            <w:proofErr w:type="spellEnd"/>
            <w:r w:rsidRPr="00A51196">
              <w:rPr>
                <w:sz w:val="20"/>
                <w:szCs w:val="20"/>
              </w:rPr>
              <w:t xml:space="preserve">; and the relative merits of each.  Further index numbers – </w:t>
            </w:r>
            <w:proofErr w:type="spellStart"/>
            <w:r w:rsidRPr="00A51196">
              <w:rPr>
                <w:sz w:val="20"/>
                <w:szCs w:val="20"/>
              </w:rPr>
              <w:t>Törnqvist</w:t>
            </w:r>
            <w:proofErr w:type="spellEnd"/>
            <w:r w:rsidRPr="00A51196">
              <w:rPr>
                <w:sz w:val="20"/>
                <w:szCs w:val="20"/>
              </w:rPr>
              <w:t xml:space="preserve">, Walsh, Fisher and Geometric </w:t>
            </w:r>
            <w:proofErr w:type="spellStart"/>
            <w:r w:rsidRPr="00A51196">
              <w:rPr>
                <w:sz w:val="20"/>
                <w:szCs w:val="20"/>
              </w:rPr>
              <w:t>Laspeyres</w:t>
            </w:r>
            <w:proofErr w:type="spellEnd"/>
            <w:r w:rsidRPr="00A51196">
              <w:rPr>
                <w:sz w:val="20"/>
                <w:szCs w:val="20"/>
              </w:rPr>
              <w:t>.  Index aggregation.</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Deflation</w:t>
            </w:r>
          </w:p>
          <w:p w:rsidR="006D3AA9" w:rsidRPr="00A51196" w:rsidRDefault="006D3AA9" w:rsidP="00AC6A76">
            <w:pPr>
              <w:jc w:val="both"/>
              <w:rPr>
                <w:sz w:val="20"/>
                <w:szCs w:val="20"/>
              </w:rPr>
            </w:pPr>
            <w:r w:rsidRPr="00A51196">
              <w:rPr>
                <w:sz w:val="20"/>
                <w:szCs w:val="20"/>
              </w:rPr>
              <w:t>Why deflation is used and how it works</w:t>
            </w:r>
            <w:proofErr w:type="gramStart"/>
            <w:r w:rsidRPr="00A51196">
              <w:rPr>
                <w:sz w:val="20"/>
                <w:szCs w:val="20"/>
              </w:rPr>
              <w:t>;  what</w:t>
            </w:r>
            <w:proofErr w:type="gramEnd"/>
            <w:r w:rsidRPr="00A51196">
              <w:rPr>
                <w:sz w:val="20"/>
                <w:szCs w:val="20"/>
              </w:rPr>
              <w:t xml:space="preserve"> makes a good deflator;  how deflation is carried out.</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Re-basing</w:t>
            </w:r>
          </w:p>
          <w:p w:rsidR="006D3AA9" w:rsidRPr="00A51196" w:rsidRDefault="006D3AA9" w:rsidP="00AC6A76">
            <w:pPr>
              <w:jc w:val="both"/>
              <w:rPr>
                <w:sz w:val="20"/>
                <w:szCs w:val="20"/>
              </w:rPr>
            </w:pPr>
            <w:r w:rsidRPr="00A51196">
              <w:rPr>
                <w:sz w:val="20"/>
                <w:szCs w:val="20"/>
              </w:rPr>
              <w:t>Why, when and how re-basing is done.</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Chain linking</w:t>
            </w:r>
          </w:p>
          <w:p w:rsidR="006D3AA9" w:rsidRPr="00A51196" w:rsidRDefault="006D3AA9" w:rsidP="00AC6A76">
            <w:pPr>
              <w:jc w:val="both"/>
              <w:rPr>
                <w:sz w:val="20"/>
                <w:szCs w:val="20"/>
              </w:rPr>
            </w:pPr>
            <w:r w:rsidRPr="00A51196">
              <w:rPr>
                <w:sz w:val="20"/>
                <w:szCs w:val="20"/>
              </w:rPr>
              <w:t xml:space="preserve">Chain linking of simple price relatives, and chain linking using </w:t>
            </w:r>
            <w:proofErr w:type="spellStart"/>
            <w:r w:rsidRPr="00A51196">
              <w:rPr>
                <w:sz w:val="20"/>
                <w:szCs w:val="20"/>
              </w:rPr>
              <w:t>Laspeyres</w:t>
            </w:r>
            <w:proofErr w:type="spellEnd"/>
            <w:r w:rsidRPr="00A51196">
              <w:rPr>
                <w:sz w:val="20"/>
                <w:szCs w:val="20"/>
              </w:rPr>
              <w:t>.</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Use of index numbers</w:t>
            </w:r>
          </w:p>
        </w:tc>
        <w:tc>
          <w:tcPr>
            <w:tcW w:w="4536" w:type="dxa"/>
            <w:vMerge/>
            <w:shd w:val="clear" w:color="auto" w:fill="auto"/>
          </w:tcPr>
          <w:p w:rsidR="006D3AA9" w:rsidRPr="00A51196" w:rsidRDefault="006D3AA9" w:rsidP="00AC6A76">
            <w:pPr>
              <w:jc w:val="both"/>
              <w:rPr>
                <w:i/>
                <w:sz w:val="20"/>
                <w:szCs w:val="20"/>
              </w:rPr>
            </w:pPr>
          </w:p>
        </w:tc>
      </w:tr>
    </w:tbl>
    <w:p w:rsidR="006D3AA9" w:rsidRDefault="006D3AA9" w:rsidP="006D3AA9">
      <w:pPr>
        <w:jc w:val="center"/>
        <w:rPr>
          <w:b/>
          <w:sz w:val="28"/>
          <w:szCs w:val="28"/>
        </w:rPr>
      </w:pPr>
      <w:r>
        <w:br w:type="page"/>
      </w:r>
      <w:r w:rsidRPr="002F4B33">
        <w:rPr>
          <w:b/>
          <w:sz w:val="28"/>
          <w:szCs w:val="28"/>
        </w:rPr>
        <w:lastRenderedPageBreak/>
        <w:t>MODULE 8:  Survey Sampling and Estimation</w:t>
      </w:r>
    </w:p>
    <w:p w:rsidR="006D3AA9" w:rsidRDefault="006D3AA9" w:rsidP="006D3AA9">
      <w:pPr>
        <w:jc w:val="both"/>
      </w:pPr>
    </w:p>
    <w:p w:rsidR="006D3AA9" w:rsidRPr="00C36843" w:rsidRDefault="006D3AA9" w:rsidP="006D3AA9">
      <w:pPr>
        <w:jc w:val="both"/>
      </w:pPr>
    </w:p>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sz w:val="20"/>
                <w:szCs w:val="20"/>
              </w:rPr>
            </w:pPr>
            <w:r w:rsidRPr="00A51196">
              <w:rPr>
                <w:b/>
                <w:sz w:val="20"/>
                <w:szCs w:val="20"/>
              </w:rPr>
              <w:t>Populations and frames</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Target and study populations.  Types of frames available, uses and sources of error.</w:t>
            </w:r>
          </w:p>
        </w:tc>
        <w:tc>
          <w:tcPr>
            <w:tcW w:w="4536" w:type="dxa"/>
            <w:vMerge w:val="restart"/>
            <w:shd w:val="clear" w:color="auto" w:fill="auto"/>
          </w:tcPr>
          <w:p w:rsidR="006D3AA9" w:rsidRPr="00A51196" w:rsidRDefault="006D3AA9" w:rsidP="00AC6A76">
            <w:pPr>
              <w:jc w:val="both"/>
              <w:rPr>
                <w:b/>
                <w:sz w:val="28"/>
                <w:szCs w:val="28"/>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Sampling methods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Non-probability methods, haphazard sampling, quota sampling.</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 xml:space="preserve">Simple random </w:t>
            </w:r>
            <w:proofErr w:type="gramStart"/>
            <w:r w:rsidRPr="00A51196">
              <w:rPr>
                <w:sz w:val="20"/>
                <w:szCs w:val="20"/>
              </w:rPr>
              <w:t>sampling,</w:t>
            </w:r>
            <w:proofErr w:type="gramEnd"/>
            <w:r w:rsidRPr="00A51196">
              <w:rPr>
                <w:sz w:val="20"/>
                <w:szCs w:val="20"/>
              </w:rPr>
              <w:t xml:space="preserve"> stratified random sampling (with equal, proportional and optimal allocation), cluster and multi-stage sampling, systematic sampling.</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Simple and stratified random sampling</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Uses, limitations, applications to different data types, practical examples.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Estimates of totals, means and proportions, construction of confidence intervals.</w:t>
            </w:r>
          </w:p>
          <w:p w:rsidR="006D3AA9" w:rsidRPr="00A51196" w:rsidRDefault="006D3AA9" w:rsidP="00AC6A76">
            <w:pPr>
              <w:jc w:val="both"/>
              <w:rPr>
                <w:sz w:val="20"/>
                <w:szCs w:val="20"/>
              </w:rPr>
            </w:pPr>
          </w:p>
          <w:p w:rsidR="006D3AA9" w:rsidRPr="00A51196" w:rsidRDefault="006D3AA9" w:rsidP="00AC6A76">
            <w:pPr>
              <w:jc w:val="both"/>
              <w:rPr>
                <w:b/>
                <w:sz w:val="20"/>
                <w:szCs w:val="20"/>
              </w:rPr>
            </w:pPr>
            <w:proofErr w:type="spellStart"/>
            <w:r w:rsidRPr="00A51196">
              <w:rPr>
                <w:sz w:val="20"/>
                <w:szCs w:val="20"/>
              </w:rPr>
              <w:t>Neyman</w:t>
            </w:r>
            <w:proofErr w:type="spellEnd"/>
            <w:r w:rsidRPr="00A51196">
              <w:rPr>
                <w:sz w:val="20"/>
                <w:szCs w:val="20"/>
              </w:rPr>
              <w:t xml:space="preserve"> and optimal allocation, use to reduce variance.</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Calibration techniques for estimation</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Ratio and regression methods.  Use of supplementary information.</w:t>
            </w:r>
          </w:p>
        </w:tc>
        <w:tc>
          <w:tcPr>
            <w:tcW w:w="4536" w:type="dxa"/>
            <w:vMerge w:val="restart"/>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Practical problems in planning and conducting surveys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 xml:space="preserve">Choice of sampling method and estimators to </w:t>
            </w:r>
            <w:proofErr w:type="gramStart"/>
            <w:r w:rsidRPr="00A51196">
              <w:rPr>
                <w:sz w:val="20"/>
                <w:szCs w:val="20"/>
              </w:rPr>
              <w:t>be used</w:t>
            </w:r>
            <w:proofErr w:type="gramEnd"/>
            <w:r w:rsidRPr="00A51196">
              <w:rPr>
                <w:sz w:val="20"/>
                <w:szCs w:val="20"/>
              </w:rPr>
              <w:t xml:space="preserve"> in a survey, trade-off between bias and variance.  Discussion of sampling problems in an actual survey, recommendations for improvement using practical examples.</w:t>
            </w:r>
          </w:p>
        </w:tc>
        <w:tc>
          <w:tcPr>
            <w:tcW w:w="4536" w:type="dxa"/>
            <w:shd w:val="clear" w:color="auto" w:fill="auto"/>
          </w:tcPr>
          <w:p w:rsidR="006D3AA9" w:rsidRPr="00A51196" w:rsidRDefault="006D3AA9" w:rsidP="00AC6A76">
            <w:pPr>
              <w:jc w:val="both"/>
              <w:rPr>
                <w:i/>
                <w:sz w:val="20"/>
                <w:szCs w:val="20"/>
              </w:rPr>
            </w:pPr>
          </w:p>
        </w:tc>
      </w:tr>
    </w:tbl>
    <w:p w:rsidR="006D3AA9" w:rsidRDefault="006D3AA9" w:rsidP="006D3AA9"/>
    <w:p w:rsidR="006D3AA9" w:rsidRDefault="006D3AA9" w:rsidP="006D3AA9">
      <w:pPr>
        <w:autoSpaceDE w:val="0"/>
        <w:autoSpaceDN w:val="0"/>
        <w:adjustRightInd w:val="0"/>
      </w:pPr>
    </w:p>
    <w:p w:rsidR="006D3AA9" w:rsidRDefault="006D3AA9" w:rsidP="006D3AA9">
      <w:pPr>
        <w:autoSpaceDE w:val="0"/>
        <w:autoSpaceDN w:val="0"/>
        <w:adjustRightInd w:val="0"/>
      </w:pPr>
    </w:p>
    <w:p w:rsidR="006D3AA9" w:rsidRDefault="006D3AA9" w:rsidP="006D3AA9">
      <w:pPr>
        <w:autoSpaceDE w:val="0"/>
        <w:autoSpaceDN w:val="0"/>
        <w:adjustRightInd w:val="0"/>
        <w:jc w:val="center"/>
      </w:pPr>
      <w:r>
        <w:rPr>
          <w:rFonts w:hint="eastAsia"/>
        </w:rPr>
        <w:t>- End -</w:t>
      </w:r>
    </w:p>
    <w:p w:rsidR="006D3AA9" w:rsidRDefault="006D3AA9" w:rsidP="006D3AA9">
      <w:pPr>
        <w:autoSpaceDE w:val="0"/>
        <w:autoSpaceDN w:val="0"/>
        <w:adjustRightInd w:val="0"/>
      </w:pPr>
    </w:p>
    <w:p w:rsidR="00B74FC0" w:rsidRDefault="00B74FC0">
      <w:pPr>
        <w:widowControl/>
        <w:rPr>
          <w:lang w:val="en-US"/>
        </w:rPr>
      </w:pPr>
    </w:p>
    <w:sectPr w:rsidR="00B74FC0">
      <w:footerReference w:type="even" r:id="rId9"/>
      <w:footerReference w:type="default" r:id="rId10"/>
      <w:headerReference w:type="first" r:id="rId11"/>
      <w:footerReference w:type="first" r:id="rId12"/>
      <w:pgSz w:w="12240" w:h="15840" w:code="1"/>
      <w:pgMar w:top="1134" w:right="1701" w:bottom="1134" w:left="170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9D" w:rsidRDefault="00C7299D">
      <w:r>
        <w:separator/>
      </w:r>
    </w:p>
  </w:endnote>
  <w:endnote w:type="continuationSeparator" w:id="0">
    <w:p w:rsidR="00C7299D" w:rsidRDefault="00C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新細明體"/>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0</w:t>
    </w:r>
    <w:r>
      <w:rPr>
        <w:rStyle w:val="ab"/>
      </w:rPr>
      <w:fldChar w:fldCharType="end"/>
    </w:r>
  </w:p>
  <w:p w:rsidR="00AA3152" w:rsidRDefault="00AA3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jc w:val="right"/>
    </w:pPr>
    <w:r>
      <w:fldChar w:fldCharType="begin"/>
    </w:r>
    <w:r>
      <w:instrText xml:space="preserve"> PAGE \* Arabic \* MERGEFORMAT </w:instrText>
    </w:r>
    <w:r>
      <w:fldChar w:fldCharType="separate"/>
    </w:r>
    <w:r w:rsidR="0001523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tabs>
        <w:tab w:val="left" w:pos="285"/>
      </w:tabs>
    </w:pPr>
    <w:r>
      <w:fldChar w:fldCharType="begin"/>
    </w:r>
    <w:r>
      <w:instrText xml:space="preserve"> MACROBUTTON UncheckIt </w:instrText>
    </w:r>
    <w:r>
      <w:sym w:font="Wingdings" w:char="F0FE"/>
    </w:r>
    <w:r>
      <w:fldChar w:fldCharType="end"/>
    </w:r>
    <w:r>
      <w:tab/>
      <w:t xml:space="preserve">Please tick the appropriate </w:t>
    </w:r>
    <w:proofErr w:type="gramStart"/>
    <w:r>
      <w:t>box(</w:t>
    </w:r>
    <w:proofErr w:type="spellStart"/>
    <w:proofErr w:type="gramEnd"/>
    <w:r>
      <w:t>es</w:t>
    </w:r>
    <w:proofErr w:type="spellEnd"/>
    <w:r>
      <w:t>)</w:t>
    </w:r>
  </w:p>
  <w:p w:rsidR="00AA3152" w:rsidRDefault="00AA3152">
    <w:pPr>
      <w:pStyle w:val="a6"/>
      <w:tabs>
        <w:tab w:val="left" w:pos="285"/>
      </w:tabs>
    </w:pPr>
    <w:r>
      <w:t>*</w:t>
    </w:r>
    <w:r>
      <w:tab/>
      <w:t>Please cross out inappropriate 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9D" w:rsidRDefault="00C7299D">
      <w:r>
        <w:separator/>
      </w:r>
    </w:p>
  </w:footnote>
  <w:footnote w:type="continuationSeparator" w:id="0">
    <w:p w:rsidR="00C7299D" w:rsidRDefault="00C7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7"/>
      <w:wordWrap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909"/>
    <w:multiLevelType w:val="hybridMultilevel"/>
    <w:tmpl w:val="5ACE1464"/>
    <w:lvl w:ilvl="0" w:tplc="FFFFFFF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BB3F38"/>
    <w:multiLevelType w:val="hybridMultilevel"/>
    <w:tmpl w:val="219CDF7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64821211"/>
    <w:multiLevelType w:val="hybridMultilevel"/>
    <w:tmpl w:val="7BBEB8B2"/>
    <w:lvl w:ilvl="0" w:tplc="FFFFFFFF">
      <w:start w:val="1"/>
      <w:numFmt w:val="decimal"/>
      <w:lvlText w:val="%1."/>
      <w:lvlJc w:val="left"/>
      <w:pPr>
        <w:tabs>
          <w:tab w:val="num" w:pos="546"/>
        </w:tabs>
        <w:ind w:left="546" w:hanging="480"/>
      </w:pPr>
    </w:lvl>
    <w:lvl w:ilvl="1" w:tplc="FFFFFFFF" w:tentative="1">
      <w:start w:val="1"/>
      <w:numFmt w:val="ideographTraditional"/>
      <w:lvlText w:val="%2、"/>
      <w:lvlJc w:val="left"/>
      <w:pPr>
        <w:tabs>
          <w:tab w:val="num" w:pos="1026"/>
        </w:tabs>
        <w:ind w:left="1026" w:hanging="480"/>
      </w:pPr>
    </w:lvl>
    <w:lvl w:ilvl="2" w:tplc="FFFFFFFF" w:tentative="1">
      <w:start w:val="1"/>
      <w:numFmt w:val="lowerRoman"/>
      <w:lvlText w:val="%3."/>
      <w:lvlJc w:val="right"/>
      <w:pPr>
        <w:tabs>
          <w:tab w:val="num" w:pos="1506"/>
        </w:tabs>
        <w:ind w:left="1506" w:hanging="480"/>
      </w:pPr>
    </w:lvl>
    <w:lvl w:ilvl="3" w:tplc="FFFFFFFF" w:tentative="1">
      <w:start w:val="1"/>
      <w:numFmt w:val="decimal"/>
      <w:lvlText w:val="%4."/>
      <w:lvlJc w:val="left"/>
      <w:pPr>
        <w:tabs>
          <w:tab w:val="num" w:pos="1986"/>
        </w:tabs>
        <w:ind w:left="1986" w:hanging="480"/>
      </w:pPr>
    </w:lvl>
    <w:lvl w:ilvl="4" w:tplc="FFFFFFFF" w:tentative="1">
      <w:start w:val="1"/>
      <w:numFmt w:val="ideographTraditional"/>
      <w:lvlText w:val="%5、"/>
      <w:lvlJc w:val="left"/>
      <w:pPr>
        <w:tabs>
          <w:tab w:val="num" w:pos="2466"/>
        </w:tabs>
        <w:ind w:left="2466" w:hanging="480"/>
      </w:pPr>
    </w:lvl>
    <w:lvl w:ilvl="5" w:tplc="FFFFFFFF" w:tentative="1">
      <w:start w:val="1"/>
      <w:numFmt w:val="lowerRoman"/>
      <w:lvlText w:val="%6."/>
      <w:lvlJc w:val="right"/>
      <w:pPr>
        <w:tabs>
          <w:tab w:val="num" w:pos="2946"/>
        </w:tabs>
        <w:ind w:left="2946" w:hanging="480"/>
      </w:pPr>
    </w:lvl>
    <w:lvl w:ilvl="6" w:tplc="FFFFFFFF" w:tentative="1">
      <w:start w:val="1"/>
      <w:numFmt w:val="decimal"/>
      <w:lvlText w:val="%7."/>
      <w:lvlJc w:val="left"/>
      <w:pPr>
        <w:tabs>
          <w:tab w:val="num" w:pos="3426"/>
        </w:tabs>
        <w:ind w:left="3426" w:hanging="480"/>
      </w:pPr>
    </w:lvl>
    <w:lvl w:ilvl="7" w:tplc="FFFFFFFF" w:tentative="1">
      <w:start w:val="1"/>
      <w:numFmt w:val="ideographTraditional"/>
      <w:lvlText w:val="%8、"/>
      <w:lvlJc w:val="left"/>
      <w:pPr>
        <w:tabs>
          <w:tab w:val="num" w:pos="3906"/>
        </w:tabs>
        <w:ind w:left="3906" w:hanging="480"/>
      </w:pPr>
    </w:lvl>
    <w:lvl w:ilvl="8" w:tplc="FFFFFFFF" w:tentative="1">
      <w:start w:val="1"/>
      <w:numFmt w:val="lowerRoman"/>
      <w:lvlText w:val="%9."/>
      <w:lvlJc w:val="right"/>
      <w:pPr>
        <w:tabs>
          <w:tab w:val="num" w:pos="4386"/>
        </w:tabs>
        <w:ind w:left="438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62292"/>
    <w:rsid w:val="0001523D"/>
    <w:rsid w:val="00027735"/>
    <w:rsid w:val="00041042"/>
    <w:rsid w:val="000613B4"/>
    <w:rsid w:val="00064689"/>
    <w:rsid w:val="00085654"/>
    <w:rsid w:val="000B093C"/>
    <w:rsid w:val="000C0709"/>
    <w:rsid w:val="000D251D"/>
    <w:rsid w:val="000D4594"/>
    <w:rsid w:val="000D5772"/>
    <w:rsid w:val="000D77EB"/>
    <w:rsid w:val="00165BBF"/>
    <w:rsid w:val="00197AA0"/>
    <w:rsid w:val="002333D9"/>
    <w:rsid w:val="00234FE4"/>
    <w:rsid w:val="002847A2"/>
    <w:rsid w:val="002B3A93"/>
    <w:rsid w:val="002F7890"/>
    <w:rsid w:val="00304E0E"/>
    <w:rsid w:val="00362292"/>
    <w:rsid w:val="00381AFC"/>
    <w:rsid w:val="00393B6C"/>
    <w:rsid w:val="003B114C"/>
    <w:rsid w:val="003C399A"/>
    <w:rsid w:val="00417470"/>
    <w:rsid w:val="00456DD9"/>
    <w:rsid w:val="004817EF"/>
    <w:rsid w:val="00491210"/>
    <w:rsid w:val="004A10C4"/>
    <w:rsid w:val="004F2440"/>
    <w:rsid w:val="005240BA"/>
    <w:rsid w:val="0053732B"/>
    <w:rsid w:val="00542E4A"/>
    <w:rsid w:val="0059592A"/>
    <w:rsid w:val="005A1C2F"/>
    <w:rsid w:val="005C64D2"/>
    <w:rsid w:val="005E6058"/>
    <w:rsid w:val="005F0088"/>
    <w:rsid w:val="00600805"/>
    <w:rsid w:val="00602B3F"/>
    <w:rsid w:val="006039EE"/>
    <w:rsid w:val="00640129"/>
    <w:rsid w:val="00642D88"/>
    <w:rsid w:val="0065619E"/>
    <w:rsid w:val="00656BB9"/>
    <w:rsid w:val="00672005"/>
    <w:rsid w:val="006B6BEB"/>
    <w:rsid w:val="006C3E8C"/>
    <w:rsid w:val="006D3AA9"/>
    <w:rsid w:val="006E1D48"/>
    <w:rsid w:val="00700086"/>
    <w:rsid w:val="0073663F"/>
    <w:rsid w:val="007A0D66"/>
    <w:rsid w:val="007C3C9F"/>
    <w:rsid w:val="008440FA"/>
    <w:rsid w:val="00863C49"/>
    <w:rsid w:val="00884E29"/>
    <w:rsid w:val="009321C8"/>
    <w:rsid w:val="0093341E"/>
    <w:rsid w:val="009B7FF4"/>
    <w:rsid w:val="009F494E"/>
    <w:rsid w:val="00A51BBE"/>
    <w:rsid w:val="00A9190F"/>
    <w:rsid w:val="00AA3152"/>
    <w:rsid w:val="00B063FA"/>
    <w:rsid w:val="00B23F38"/>
    <w:rsid w:val="00B74FC0"/>
    <w:rsid w:val="00B9107D"/>
    <w:rsid w:val="00BD00EA"/>
    <w:rsid w:val="00BF5E2E"/>
    <w:rsid w:val="00C03095"/>
    <w:rsid w:val="00C7299D"/>
    <w:rsid w:val="00C754FC"/>
    <w:rsid w:val="00C96912"/>
    <w:rsid w:val="00CE6109"/>
    <w:rsid w:val="00D127A2"/>
    <w:rsid w:val="00D24101"/>
    <w:rsid w:val="00D44B9C"/>
    <w:rsid w:val="00D51E93"/>
    <w:rsid w:val="00DE2B09"/>
    <w:rsid w:val="00DF12C3"/>
    <w:rsid w:val="00DF473E"/>
    <w:rsid w:val="00E30626"/>
    <w:rsid w:val="00E35603"/>
    <w:rsid w:val="00E60E47"/>
    <w:rsid w:val="00E707A2"/>
    <w:rsid w:val="00E803AA"/>
    <w:rsid w:val="00E82FD5"/>
    <w:rsid w:val="00EA69ED"/>
    <w:rsid w:val="00EB0D69"/>
    <w:rsid w:val="00ED48FC"/>
    <w:rsid w:val="00F24E2F"/>
    <w:rsid w:val="00F35BC5"/>
    <w:rsid w:val="00F63BEC"/>
    <w:rsid w:val="00F75964"/>
    <w:rsid w:val="00F81AC6"/>
    <w:rsid w:val="00FD0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F079284"/>
  <w15:chartTrackingRefBased/>
  <w15:docId w15:val="{DC3DFACB-10D3-4DF8-A31C-8E3074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next w:val="a0"/>
    <w:qFormat/>
    <w:pPr>
      <w:keepNext/>
      <w:spacing w:beforeLines="100" w:before="240" w:afterLines="100" w:after="240"/>
      <w:jc w:val="center"/>
      <w:outlineLvl w:val="0"/>
    </w:pPr>
    <w:rPr>
      <w:b/>
      <w:bCs/>
      <w:u w:val="single"/>
      <w:lang w:val="en-US"/>
    </w:rPr>
  </w:style>
  <w:style w:type="paragraph" w:styleId="3">
    <w:name w:val="heading 3"/>
    <w:basedOn w:val="a"/>
    <w:next w:val="a"/>
    <w:link w:val="30"/>
    <w:uiPriority w:val="9"/>
    <w:semiHidden/>
    <w:unhideWhenUsed/>
    <w:qFormat/>
    <w:rsid w:val="00C030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03095"/>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widowControl/>
      <w:spacing w:after="220" w:line="180" w:lineRule="atLeast"/>
      <w:jc w:val="both"/>
    </w:pPr>
    <w:rPr>
      <w:spacing w:val="-5"/>
      <w:kern w:val="0"/>
      <w:sz w:val="20"/>
      <w:szCs w:val="20"/>
      <w:lang w:val="en-US"/>
    </w:rPr>
  </w:style>
  <w:style w:type="paragraph" w:customStyle="1" w:styleId="a4">
    <w:name w:val="公司行號"/>
    <w:basedOn w:val="a"/>
    <w:pPr>
      <w:keepLines/>
      <w:widowControl/>
      <w:spacing w:line="320" w:lineRule="exact"/>
      <w:jc w:val="center"/>
    </w:pPr>
    <w:rPr>
      <w:spacing w:val="-15"/>
      <w:kern w:val="0"/>
      <w:sz w:val="36"/>
      <w:szCs w:val="20"/>
      <w:lang w:val="en-US"/>
    </w:rPr>
  </w:style>
  <w:style w:type="character" w:styleId="a5">
    <w:name w:val="Emphasis"/>
    <w:qFormat/>
    <w:rPr>
      <w:spacing w:val="-5"/>
      <w:kern w:val="0"/>
      <w:szCs w:val="20"/>
    </w:rPr>
  </w:style>
  <w:style w:type="paragraph" w:styleId="a6">
    <w:name w:val="footer"/>
    <w:basedOn w:val="a"/>
    <w:pPr>
      <w:keepLines/>
      <w:widowControl/>
      <w:tabs>
        <w:tab w:val="center" w:pos="4320"/>
        <w:tab w:val="right" w:pos="8640"/>
      </w:tabs>
      <w:jc w:val="both"/>
    </w:pPr>
    <w:rPr>
      <w:spacing w:val="-5"/>
      <w:kern w:val="0"/>
      <w:sz w:val="18"/>
      <w:szCs w:val="20"/>
      <w:lang w:val="en-US"/>
    </w:rPr>
  </w:style>
  <w:style w:type="paragraph" w:styleId="a7">
    <w:name w:val="header"/>
    <w:basedOn w:val="a"/>
    <w:pPr>
      <w:keepLines/>
      <w:widowControl/>
      <w:tabs>
        <w:tab w:val="center" w:pos="4320"/>
        <w:tab w:val="right" w:pos="8640"/>
      </w:tabs>
      <w:spacing w:after="600" w:line="180" w:lineRule="atLeast"/>
      <w:jc w:val="both"/>
    </w:pPr>
    <w:rPr>
      <w:spacing w:val="-5"/>
      <w:kern w:val="0"/>
      <w:sz w:val="20"/>
      <w:szCs w:val="20"/>
      <w:lang w:val="en-US"/>
    </w:rPr>
  </w:style>
  <w:style w:type="paragraph" w:customStyle="1" w:styleId="a8">
    <w:name w:val="訊息欄位名稱頭"/>
    <w:basedOn w:val="a9"/>
    <w:next w:val="a9"/>
    <w:pPr>
      <w:keepLines/>
      <w:widowControl/>
      <w:pBdr>
        <w:top w:val="none" w:sz="0" w:space="0" w:color="auto"/>
        <w:left w:val="none" w:sz="0" w:space="0" w:color="auto"/>
        <w:bottom w:val="none" w:sz="0" w:space="0" w:color="auto"/>
        <w:right w:val="none" w:sz="0" w:space="0" w:color="auto"/>
      </w:pBdr>
      <w:shd w:val="clear" w:color="auto" w:fill="auto"/>
      <w:tabs>
        <w:tab w:val="left" w:pos="2280"/>
        <w:tab w:val="left" w:pos="5320"/>
        <w:tab w:val="right" w:pos="8740"/>
      </w:tabs>
      <w:spacing w:before="80" w:after="80"/>
      <w:ind w:leftChars="50" w:left="95" w:rightChars="61" w:right="116" w:firstLineChars="0" w:firstLine="0"/>
    </w:pPr>
    <w:rPr>
      <w:rFonts w:ascii="Times New Roman" w:hAnsi="Times New Roman" w:cs="Times New Roman"/>
      <w:b/>
      <w:bCs/>
      <w:i/>
      <w:iCs/>
      <w:spacing w:val="-5"/>
      <w:kern w:val="0"/>
      <w:sz w:val="22"/>
      <w:szCs w:val="20"/>
      <w:lang w:val="en-US"/>
    </w:rPr>
  </w:style>
  <w:style w:type="character" w:customStyle="1" w:styleId="aa">
    <w:name w:val="訊息欄位名稱標示"/>
    <w:rPr>
      <w:sz w:val="20"/>
    </w:rPr>
  </w:style>
  <w:style w:type="character" w:styleId="ab">
    <w:name w:val="page number"/>
    <w:rPr>
      <w:noProof w:val="0"/>
      <w:sz w:val="18"/>
      <w:lang w:eastAsia="zh-TW"/>
    </w:rPr>
  </w:style>
  <w:style w:type="paragraph" w:styleId="ac">
    <w:name w:val="envelope return"/>
    <w:basedOn w:val="a"/>
    <w:pPr>
      <w:keepLines/>
      <w:widowControl/>
      <w:spacing w:line="200" w:lineRule="atLeast"/>
    </w:pPr>
    <w:rPr>
      <w:rFonts w:ascii="Arial" w:hAnsi="Arial"/>
      <w:spacing w:val="-2"/>
      <w:kern w:val="0"/>
      <w:sz w:val="16"/>
      <w:szCs w:val="20"/>
      <w:lang w:val="en-US"/>
    </w:rPr>
  </w:style>
  <w:style w:type="paragraph" w:styleId="2">
    <w:name w:val="Body Text 2"/>
    <w:basedOn w:val="a"/>
    <w:pPr>
      <w:snapToGrid w:val="0"/>
      <w:spacing w:afterLines="50" w:after="120"/>
      <w:jc w:val="both"/>
    </w:pPr>
    <w:rPr>
      <w:sz w:val="20"/>
      <w:lang w:val="en-US"/>
    </w:rPr>
  </w:style>
  <w:style w:type="paragraph" w:styleId="ad">
    <w:name w:val="Block Text"/>
    <w:basedOn w:val="a"/>
    <w:pPr>
      <w:widowControl/>
      <w:spacing w:after="40"/>
      <w:ind w:leftChars="35" w:left="66" w:rightChars="51" w:right="97"/>
      <w:jc w:val="both"/>
    </w:pPr>
    <w:rPr>
      <w:spacing w:val="-5"/>
      <w:kern w:val="0"/>
      <w:sz w:val="20"/>
      <w:szCs w:val="20"/>
      <w:lang w:val="en-US"/>
    </w:rPr>
  </w:style>
  <w:style w:type="character" w:styleId="ae">
    <w:name w:val="Hyperlink"/>
    <w:rPr>
      <w:noProof w:val="0"/>
      <w:color w:val="0000FF"/>
      <w:u w:val="single"/>
      <w:lang w:eastAsia="zh-TW"/>
    </w:rPr>
  </w:style>
  <w:style w:type="paragraph" w:styleId="a9">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
    <w:name w:val="Balloon Text"/>
    <w:basedOn w:val="a"/>
    <w:semiHidden/>
    <w:rsid w:val="00642D88"/>
    <w:rPr>
      <w:rFonts w:ascii="Arial" w:hAnsi="Arial"/>
      <w:sz w:val="18"/>
      <w:szCs w:val="18"/>
    </w:rPr>
  </w:style>
  <w:style w:type="character" w:customStyle="1" w:styleId="30">
    <w:name w:val="標題 3 字元"/>
    <w:basedOn w:val="a1"/>
    <w:link w:val="3"/>
    <w:uiPriority w:val="9"/>
    <w:semiHidden/>
    <w:rsid w:val="00C03095"/>
    <w:rPr>
      <w:rFonts w:asciiTheme="majorHAnsi" w:eastAsiaTheme="majorEastAsia" w:hAnsiTheme="majorHAnsi" w:cstheme="majorBidi"/>
      <w:b/>
      <w:bCs/>
      <w:kern w:val="2"/>
      <w:sz w:val="36"/>
      <w:szCs w:val="36"/>
      <w:lang w:val="en-GB"/>
    </w:rPr>
  </w:style>
  <w:style w:type="character" w:customStyle="1" w:styleId="40">
    <w:name w:val="標題 4 字元"/>
    <w:basedOn w:val="a1"/>
    <w:link w:val="4"/>
    <w:uiPriority w:val="9"/>
    <w:semiHidden/>
    <w:rsid w:val="00C03095"/>
    <w:rPr>
      <w:rFonts w:asciiTheme="majorHAnsi" w:eastAsiaTheme="majorEastAsia" w:hAnsiTheme="majorHAnsi" w:cstheme="majorBidi"/>
      <w:kern w:val="2"/>
      <w:sz w:val="36"/>
      <w:szCs w:val="36"/>
      <w:lang w:val="en-GB"/>
    </w:rPr>
  </w:style>
  <w:style w:type="paragraph" w:styleId="31">
    <w:name w:val="Body Text 3"/>
    <w:basedOn w:val="a"/>
    <w:link w:val="32"/>
    <w:uiPriority w:val="99"/>
    <w:semiHidden/>
    <w:unhideWhenUsed/>
    <w:rsid w:val="00C03095"/>
    <w:pPr>
      <w:spacing w:after="120"/>
    </w:pPr>
    <w:rPr>
      <w:sz w:val="16"/>
      <w:szCs w:val="16"/>
    </w:rPr>
  </w:style>
  <w:style w:type="character" w:customStyle="1" w:styleId="32">
    <w:name w:val="本文 3 字元"/>
    <w:basedOn w:val="a1"/>
    <w:link w:val="31"/>
    <w:uiPriority w:val="99"/>
    <w:semiHidden/>
    <w:rsid w:val="00C03095"/>
    <w:rPr>
      <w:kern w:val="2"/>
      <w:sz w:val="16"/>
      <w:szCs w:val="16"/>
      <w:lang w:val="en-GB"/>
    </w:rPr>
  </w:style>
  <w:style w:type="paragraph" w:styleId="af0">
    <w:name w:val="annotation text"/>
    <w:basedOn w:val="a"/>
    <w:link w:val="af1"/>
    <w:semiHidden/>
    <w:rsid w:val="006D3AA9"/>
    <w:pPr>
      <w:widowControl/>
    </w:pPr>
    <w:rPr>
      <w:kern w:val="0"/>
      <w:sz w:val="20"/>
      <w:szCs w:val="20"/>
      <w:lang w:eastAsia="en-US"/>
    </w:rPr>
  </w:style>
  <w:style w:type="character" w:customStyle="1" w:styleId="af1">
    <w:name w:val="註解文字 字元"/>
    <w:basedOn w:val="a1"/>
    <w:link w:val="af0"/>
    <w:semiHidden/>
    <w:rsid w:val="006D3A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ss.org.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hkss.org.h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2099</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Hong Kong Statistical Society Examination Office, c/o HKU School of Professional and Continuing Education, Rm S8, 3/F, Adm</vt:lpstr>
      <vt:lpstr>APPLICATION FOR ACADEMIC ASSESSMENT</vt:lpstr>
    </vt:vector>
  </TitlesOfParts>
  <Company>The Government of the HKSAR</Company>
  <LinksUpToDate>false</LinksUpToDate>
  <CharactersWithSpaces>14039</CharactersWithSpaces>
  <SharedDoc>false</SharedDoc>
  <HLinks>
    <vt:vector size="12" baseType="variant">
      <vt:variant>
        <vt:i4>2687016</vt:i4>
      </vt:variant>
      <vt:variant>
        <vt:i4>3</vt:i4>
      </vt:variant>
      <vt:variant>
        <vt:i4>0</vt:i4>
      </vt:variant>
      <vt:variant>
        <vt:i4>5</vt:i4>
      </vt:variant>
      <vt:variant>
        <vt:lpwstr>http://www.hkss.org.hk/</vt:lpwstr>
      </vt:variant>
      <vt:variant>
        <vt:lpwstr/>
      </vt:variant>
      <vt:variant>
        <vt:i4>6160438</vt:i4>
      </vt:variant>
      <vt:variant>
        <vt:i4>0</vt:i4>
      </vt:variant>
      <vt:variant>
        <vt:i4>0</vt:i4>
      </vt:variant>
      <vt:variant>
        <vt:i4>5</vt:i4>
      </vt:variant>
      <vt:variant>
        <vt:lpwstr>mailto:exam@hkss.org.hk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Assessment Form</dc:title>
  <dc:subject/>
  <dc:creator>HKSS</dc:creator>
  <cp:keywords/>
  <cp:lastModifiedBy>spwng</cp:lastModifiedBy>
  <cp:revision>7</cp:revision>
  <cp:lastPrinted>2017-10-30T08:31:00Z</cp:lastPrinted>
  <dcterms:created xsi:type="dcterms:W3CDTF">2019-08-16T04:12:00Z</dcterms:created>
  <dcterms:modified xsi:type="dcterms:W3CDTF">2019-08-16T05:55:00Z</dcterms:modified>
</cp:coreProperties>
</file>